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Caudex-bold.ttf" ContentType="application/x-font-ttf"/>
  <Override PartName="/word/fonts/Caudex-boldItalic.ttf" ContentType="application/x-font-ttf"/>
  <Override PartName="/word/fonts/Caudex-italic.ttf" ContentType="application/x-font-ttf"/>
  <Override PartName="/word/fonts/Caudex-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before="0" w:after="600"/>
        <w:jc w:val="left"/>
      </w:pPr>
      <w:r>
        <w:drawing>
          <wp:inline>
            <wp:extent cx="1828800" cy="4046400"/>
            <wp:docPr id="1" name="Picture 1"/>
            <wp:cNvGraphicFramePr>
              <a:graphicFrameLocks noChangeAspect="1"/>
            </wp:cNvGraphicFramePr>
            <a:graphic>
              <a:graphicData uri="http://schemas.openxmlformats.org/drawingml/2006/picture">
                <pic:pic>
                  <pic:nvPicPr>
                    <pic:cNvPr id="0" name="KavAI.png"/>
                    <pic:cNvPicPr/>
                  </pic:nvPicPr>
                  <pic:blipFill>
                    <a:blip r:embed="rId11"/>
                    <a:stretch>
                      <a:fillRect/>
                    </a:stretch>
                  </pic:blipFill>
                  <pic:spPr>
                    <a:xfrm>
                      <a:off x="0" y="0"/>
                      <a:ext cx="1828800" cy="4046400"/>
                    </a:xfrm>
                    <a:prstGeom prst="rect"/>
                  </pic:spPr>
                </pic:pic>
              </a:graphicData>
            </a:graphic>
          </wp:inline>
        </w:drawing>
      </w:r>
    </w:p>
    <w:p>
      <w:pPr>
        <w:spacing w:before="0" w:after="0"/>
      </w:pPr>
    </w:p>
    <w:p>
      <w:pPr>
        <w:spacing w:before="0" w:after="0"/>
      </w:pPr>
    </w:p>
    <w:p>
      <w:pPr>
        <w:spacing w:before="0" w:after="0"/>
      </w:pPr>
    </w:p>
    <w:p>
      <w:pPr>
        <w:spacing w:before="0" w:after="0"/>
      </w:pPr>
    </w:p>
    <w:p>
      <w:pPr>
        <w:spacing w:before="0" w:after="200"/>
      </w:pPr>
      <w:r>
        <w:rPr>
          <w:rFonts w:ascii="Arial" w:hAnsi="Arial"/>
          <w:b/>
          <w:i w:val="0"/>
          <w:color w:val="1B3A6B"/>
          <w:sz w:val="56"/>
        </w:rPr>
        <w:t>Kav AI Platform (KAP)</w:t>
      </w:r>
    </w:p>
    <w:p>
      <w:pPr>
        <w:spacing w:before="0" w:after="120"/>
      </w:pPr>
      <w:r>
        <w:rPr>
          <w:rFonts w:ascii="Arial" w:hAnsi="Arial"/>
          <w:b w:val="0"/>
          <w:i w:val="0"/>
          <w:color w:val="0D7680"/>
          <w:sz w:val="32"/>
        </w:rPr>
        <w:t>Active Physical Intelligence™</w:t>
      </w:r>
    </w:p>
    <w:p>
      <w:pPr>
        <w:spacing w:before="0" w:after="600"/>
      </w:pPr>
      <w:r>
        <w:rPr>
          <w:rFonts w:ascii="Arial" w:hAnsi="Arial"/>
          <w:b w:val="0"/>
          <w:i/>
          <w:color w:val="666666"/>
          <w:sz w:val="26"/>
        </w:rPr>
        <w:t>Investigate &amp; Escalate</w:t>
      </w:r>
    </w:p>
    <w:p>
      <w:pPr>
        <w:spacing w:before="0" w:after="0"/>
      </w:pPr>
    </w:p>
    <w:p>
      <w:pPr>
        <w:spacing w:before="0" w:after="0"/>
      </w:pPr>
    </w:p>
    <w:p>
      <w:pPr>
        <w:spacing w:before="0" w:after="0"/>
      </w:pPr>
    </w:p>
    <w:p>
      <w:pPr>
        <w:spacing w:before="0" w:after="0"/>
      </w:pPr>
    </w:p>
    <w:p>
      <w:pPr>
        <w:spacing w:before="0" w:after="60"/>
      </w:pPr>
      <w:r>
        <w:rPr>
          <w:rFonts w:ascii="Arial" w:hAnsi="Arial"/>
          <w:b w:val="0"/>
          <w:i w:val="0"/>
          <w:color w:val="666666"/>
          <w:sz w:val="21"/>
        </w:rPr>
        <w:t>Version:  3.12.g</w:t>
      </w:r>
    </w:p>
    <w:p>
      <w:pPr>
        <w:spacing w:before="0" w:after="60"/>
      </w:pPr>
      <w:r>
        <w:rPr>
          <w:rFonts w:ascii="Arial" w:hAnsi="Arial"/>
          <w:b w:val="0"/>
          <w:i w:val="0"/>
          <w:color w:val="666666"/>
          <w:sz w:val="21"/>
        </w:rPr>
        <w:t>Date:  2026-09-03</w:t>
      </w:r>
    </w:p>
    <w:p>
      <w:pPr>
        <w:spacing w:before="0" w:after="60"/>
      </w:pPr>
      <w:r>
        <w:rPr>
          <w:rFonts w:ascii="Arial" w:hAnsi="Arial"/>
          <w:b w:val="0"/>
          <w:i w:val="0"/>
          <w:color w:val="666666"/>
          <w:sz w:val="21"/>
        </w:rPr>
        <w:t>Author:  Kav AI Development Team</w:t>
      </w:r>
    </w:p>
    <w:p>
      <w:r>
        <w:br w:type="page"/>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1600"/>
        <w:gridCol w:w="7760"/>
      </w:tblGrid>
      <w:tr>
        <w:tc>
          <w:tcPr>
            <w:tcW w:w="1600" w:type="dxa"/>
            <w:tcBorders>
              <w:top w:val="single" w:sz="1" w:space="0" w:color="0D7680"/>
              <w:left w:val="single" w:sz="1" w:space="0" w:color="0D7680"/>
              <w:bottom w:val="single" w:sz="1" w:space="0" w:color="0D7680"/>
              <w:right w:val="single" w:sz="1" w:space="0" w:color="0D7680"/>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Document Status</w:t>
            </w:r>
          </w:p>
        </w:tc>
        <w:tc>
          <w:tcPr>
            <w:tcW w:w="7760" w:type="dxa"/>
            <w:tcBorders>
              <w:top w:val="single" w:sz="1" w:space="0" w:color="0D7680"/>
              <w:left w:val="single" w:sz="1" w:space="0" w:color="0D7680"/>
              <w:bottom w:val="single" w:sz="1" w:space="0" w:color="0D7680"/>
              <w:right w:val="single" w:sz="1" w:space="0" w:color="0D7680"/>
            </w:tcBorders>
            <w:shd w:val="clear" w:color="auto" w:fill="D6E8F5"/>
            <w:tcMar>
              <w:top w:w="100" w:type="dxa"/>
              <w:bottom w:w="100" w:type="dxa"/>
              <w:left w:w="140" w:type="dxa"/>
              <w:right w:w="140" w:type="dxa"/>
            </w:tcMar>
            <w:vAlign w:val="center"/>
          </w:tcPr>
          <w:p>
            <w:pPr>
              <w:spacing w:before="0" w:after="0"/>
            </w:pPr>
            <w:r/>
            <w:r>
              <w:rPr>
                <w:rFonts w:ascii="Arial" w:hAnsi="Arial"/>
                <w:b w:val="0"/>
                <w:i w:val="0"/>
                <w:color w:val="111111"/>
                <w:sz w:val="20"/>
              </w:rPr>
              <w:t xml:space="preserve">This document presents Kav AI's product vision, completed milestones, and roadmap through Q4 2026. It is intended for enterprise procurement stakeholders, customers, executive decision-makers, and partner integrity-engineering firms across asset-intensive industries. Technical implementation details are contained in the Technical Appendix. </w:t>
            </w:r>
            <w:r>
              <w:rPr>
                <w:rFonts w:ascii="Arial" w:hAnsi="Arial"/>
                <w:b/>
                <w:i w:val="0"/>
                <w:color w:val="111111"/>
                <w:sz w:val="20"/>
              </w:rPr>
              <w:t>v3.6.g is the General Industry edition</w:t>
            </w:r>
            <w:r>
              <w:rPr>
                <w:rFonts w:ascii="Arial" w:hAnsi="Arial"/>
                <w:b w:val="0"/>
                <w:i w:val="0"/>
                <w:color w:val="111111"/>
                <w:sz w:val="20"/>
              </w:rPr>
              <w:t xml:space="preserve"> — it preserves the v3.6 procurement-readiness and open-standards framing and integrity architecture in full while presenting them in industry-neutral terms suitable for steel and metals, power generation, chemicals, pulp &amp; paper, cement, mining &amp; minerals, and other process &amp; heavy-manufacturing operators. Q2 2026 commitments are engineering-backed. Q3 and Q4 items are directional and subject to revision.</w:t>
            </w:r>
          </w:p>
        </w:tc>
      </w:tr>
    </w:tbl>
    <w:p>
      <w:pPr>
        <w:spacing w:before="40" w:after="120"/>
      </w:pP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Platform status</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Current focus</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Next milestone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Live — App MVP deployed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Persistent Sensing — Q3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 Context &amp; Enterprise — Q4 2026</w:t>
            </w:r>
          </w:p>
        </w:tc>
      </w:tr>
    </w:tbl>
    <w:p>
      <w:pPr>
        <w:spacing w:before="40" w:after="120"/>
      </w:pPr>
    </w:p>
    <w:p>
      <w:pPr>
        <w:pStyle w:val="Heading1"/>
      </w:pPr>
      <w:r>
        <w:rPr>
          <w:b w:val="0"/>
          <w:i w:val="0"/>
        </w:rPr>
        <w:t>Executive Summary</w:t>
      </w:r>
    </w:p>
    <w:p>
      <w:pPr>
        <w:pStyle w:val="Heading2"/>
      </w:pPr>
      <w:r>
        <w:rPr>
          <w:b w:val="0"/>
          <w:i w:val="0"/>
        </w:rPr>
        <w:t>Kav AI — Real-Time Integrity Intelligence System™ · Active Physical Intelligence™</w:t>
      </w:r>
    </w:p>
    <w:p>
      <w:pPr>
        <w:spacing w:before="0" w:after="120"/>
      </w:pPr>
      <w:r>
        <w:rPr>
          <w:b w:val="0"/>
          <w:i w:val="0"/>
        </w:rPr>
        <w:t xml:space="preserve">Kav AI is a </w:t>
      </w:r>
      <w:r>
        <w:rPr>
          <w:b/>
          <w:i w:val="0"/>
        </w:rPr>
        <w:t>Real-Time Integrity Intelligence System</w:t>
      </w:r>
      <w:r>
        <w:rPr>
          <w:b w:val="0"/>
          <w:i w:val="0"/>
        </w:rPr>
        <w:t xml:space="preserve"> for operators of asset-intensive industrial facilities. It is the first platform to close the loop between what sensors see, what process and operational data say, and what engineering codes require — delivering continuously updated risk assessments that an integrity or reliability team can act on in hours, not weeks.</w:t>
      </w:r>
    </w:p>
    <w:p>
      <w:pPr>
        <w:spacing w:before="0" w:after="120"/>
      </w:pPr>
      <w:r>
        <w:rPr>
          <w:b w:val="0"/>
          <w:i w:val="0"/>
        </w:rPr>
        <w:t xml:space="preserve">The platform operates as a continuous </w:t>
      </w:r>
      <w:r>
        <w:rPr>
          <w:b/>
          <w:i w:val="0"/>
        </w:rPr>
        <w:t>Active Physical Intelligence</w:t>
      </w:r>
      <w:r>
        <w:rPr>
          <w:b w:val="0"/>
          <w:i w:val="0"/>
        </w:rPr>
        <w:t xml:space="preserve">™ layer over the facility: it ingests visual inspection data (RGB, thermal, and other modalities), reads operational data from control systems and process historians, and reasons across both inside a persistent 3D model of the plant. The loop is </w:t>
      </w:r>
      <w:r>
        <w:rPr>
          <w:b/>
          <w:i w:val="0"/>
        </w:rPr>
        <w:t>multi-modal by design and built one modality at a time</w:t>
      </w:r>
      <w:r>
        <w:rPr>
          <w:b w:val="0"/>
          <w:i w:val="0"/>
        </w:rPr>
        <w:t xml:space="preserve">: it runs today on inspection imagery (RGB and thermal), adds field survey readings in Q3, and gains further imaging modalities and process telemetry in Q4 — the same six-stage chain, entered from each new evidence stream as it arrives (see </w:t>
      </w:r>
      <w:r>
        <w:rPr>
          <w:b w:val="0"/>
          <w:i/>
        </w:rPr>
        <w:t>The chain by evidence modality</w:t>
      </w:r>
      <w:r>
        <w:rPr>
          <w:b w:val="0"/>
          <w:i w:val="0"/>
        </w:rPr>
        <w:t xml:space="preserve"> in the Integrity Analytical Chain section). In v3.2 that loop was extended by autonomous robot patrols, fixed plant infrastructure, and CAD / engineering context. </w:t>
      </w:r>
      <w:r>
        <w:rPr>
          <w:b/>
          <w:i w:val="0"/>
        </w:rPr>
        <w:t>v3.3 sharpens the operating posture for that loop</w:t>
      </w:r>
      <w:r>
        <w:rPr>
          <w:b w:val="0"/>
          <w:i w:val="0"/>
        </w:rPr>
        <w:t>: continuous coverage from commodity fleets, cross-source confirmation as the noise filter, and a partner-integrated delivery model that puts qualified integrity engineers in the human-in-the-loop seat. The result is a single system that connects physical condition to process context to failure mechanism to risk score to recommended action — the full integrity chain, automated and auditable.</w:t>
      </w:r>
    </w:p>
    <w:p>
      <w:pPr>
        <w:spacing w:before="0" w:after="120"/>
      </w:pPr>
      <w:r>
        <w:rPr>
          <w:b/>
          <w:i w:val="0"/>
        </w:rPr>
        <w:t>Kav AI is not a hardware manufacturer, not a control-system replacement, not a robotics company, and not a general-purpose industrial AI platform.</w:t>
      </w:r>
      <w:r>
        <w:rPr>
          <w:b w:val="0"/>
          <w:i w:val="0"/>
        </w:rPr>
        <w:t xml:space="preserve"> It is the integrity intelligence layer that sits above existing systems — purpose-built for one closed-loop analytical chain — observed anomaly, failure-mechanism review, engineering decision, risk, recommended action — entered today from inspection evidence and, from Q4 2026, from Operating Limit Window (OLW / IOW) exceedances through Damage / Failure Mechanism Reviews (DMRs / FMRs) to prioritized inspection plans. Kav AI reads from operational systems; it never writes to control systems, never actuates equipment, and never commands field assets.</w:t>
      </w:r>
    </w:p>
    <w:p>
      <w:pPr>
        <w:pStyle w:val="Heading3"/>
      </w:pPr>
      <w:r>
        <w:rPr>
          <w:b w:val="0"/>
          <w:i w:val="0"/>
        </w:rPr>
        <w:t>Industry-neutral by design</w:t>
      </w:r>
    </w:p>
    <w:p>
      <w:pPr>
        <w:spacing w:before="0" w:after="120"/>
      </w:pPr>
      <w:r>
        <w:rPr>
          <w:b w:val="0"/>
          <w:i w:val="0"/>
        </w:rPr>
        <w:t>Kav AI's architecture is industry-agnostic. The same observe-reason-recommend loop applies wherever an operator runs critical fixed and rotating equipment under real process loads — steel and metals (blast furnaces, BOF/EAF shops, rolling mills, casters, coke ovens, utility piping), power generation, chemicals, pulp &amp; paper, cement, mining &amp; minerals, and downstream hydrocarbons. The domain model is configured per industry during onboarding using the operator's own equipment register, inspection history, and applicable codes (e.g., ASME, EN, API, ISO 31000-aligned RBI methodologies). Industry-specific failure-mode catalogs (corrosion, erosion, thermal fatigue, refractory degradation, abrasion, creep, weld defects, etc.) are loaded as configurable knowledge packs.</w:t>
      </w:r>
    </w:p>
    <w:p>
      <w:pPr>
        <w:spacing w:before="160" w:after="80"/>
        <w:jc w:val="center"/>
      </w:pPr>
      <w:r>
        <w:drawing>
          <wp:inline>
            <wp:extent cx="5760720" cy="4128516"/>
            <wp:docPr id="2" name="Picture 2"/>
            <wp:cNvGraphicFramePr>
              <a:graphicFrameLocks noChangeAspect="1"/>
            </wp:cNvGraphicFramePr>
            <a:graphic>
              <a:graphicData uri="http://schemas.openxmlformats.org/drawingml/2006/picture">
                <pic:pic>
                  <pic:nvPicPr>
                    <pic:cNvPr id="0" name="l1_context_diagram.png"/>
                    <pic:cNvPicPr/>
                  </pic:nvPicPr>
                  <pic:blipFill>
                    <a:blip r:embed="rId12"/>
                    <a:stretch>
                      <a:fillRect/>
                    </a:stretch>
                  </pic:blipFill>
                  <pic:spPr>
                    <a:xfrm>
                      <a:off x="0" y="0"/>
                      <a:ext cx="5760720" cy="4128516"/>
                    </a:xfrm>
                    <a:prstGeom prst="rect"/>
                  </pic:spPr>
                </pic:pic>
              </a:graphicData>
            </a:graphic>
          </wp:inline>
        </w:drawing>
      </w:r>
    </w:p>
    <w:p>
      <w:pPr>
        <w:spacing w:before="40" w:after="160"/>
        <w:jc w:val="left"/>
      </w:pPr>
      <w:r>
        <w:rPr>
          <w:i/>
          <w:color w:val="666666"/>
          <w:sz w:val="19"/>
        </w:rPr>
        <w:t>Figure 1.  Kav AI Platform — System Overview.  All data flows from operator systems are read-only. Dashed arrows indicate recommendation outputs requiring operator confirmation. In v3.3, the same system boundary now also encompasses robot patrol ingestion, CAD-backed asset context, and fixed-infrastructure continuous coverage without changing Kav AI's observe-reason-recommend posture.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Business consequence</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Kav AI response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Unplanned shutdowns at large industrial facilities routinely cost six- to seven-figure sums per day in lost production, repair, and downstream impact¹</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Continuous anomaly detection surfaces emerging failures before forced outage is required</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Fewer than 10% of captured inspection imagery is reviewed by a qualified engineer under current workflows²</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AI-assisted triage reviews 100% of imagery, flagging anomalies for engineer confirmation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Facilities take 5–10 days to move from inspection capture to actionable integrity decision²</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Kav AI reduces the triage-to-work-order cycle from 5–10 days to </w:t>
            </w:r>
            <w:r>
              <w:rPr>
                <w:rFonts w:ascii="Arial" w:hAnsi="Arial"/>
                <w:b/>
                <w:i w:val="0"/>
                <w:color w:val="111111"/>
                <w:sz w:val="20"/>
              </w:rPr>
              <w:t>&lt; 4 hours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Top- vs. bottom-quartile availability gaps reported in industry RAM benchmarking studies translate into tens of millions of dollars annually per site³</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AI's benchmarked outputs provide directly comparable, defensible performance metrics that map onto an operator's chosen reliability benchmark</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Robot inspection coverage capped by ~90-minute battery endurance and manual charging</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Fixed plant infrastructure (docking, beacons, 5G) plus high-endurance platforms unlock </w:t>
            </w:r>
            <w:r>
              <w:rPr>
                <w:rFonts w:ascii="Arial" w:hAnsi="Arial"/>
                <w:b/>
                <w:i w:val="0"/>
                <w:color w:val="111111"/>
                <w:sz w:val="20"/>
              </w:rPr>
              <w:t>≥ 20 h/day continuous coverage</w:t>
            </w:r>
            <w:r>
              <w:rPr>
                <w:rFonts w:ascii="Arial" w:hAnsi="Arial"/>
                <w:b w:val="0"/>
                <w:i w:val="0"/>
                <w:color w:val="111111"/>
                <w:sz w:val="20"/>
              </w:rPr>
              <w:t xml:space="preserve"> at one site</w:t>
            </w:r>
          </w:p>
        </w:tc>
      </w:tr>
    </w:tbl>
    <w:p>
      <w:pPr>
        <w:spacing w:before="40" w:after="120"/>
      </w:pPr>
    </w:p>
    <w:p>
      <w:pPr>
        <w:spacing w:before="40" w:after="160"/>
        <w:jc w:val="left"/>
      </w:pPr>
      <w:r>
        <w:rPr>
          <w:i/>
          <w:color w:val="666666"/>
          <w:sz w:val="19"/>
        </w:rPr>
        <w:t>¹ Industry reliability and downtime studies, multiple sectors, 2023–2025. ² Kav AI customer discovery interviews, 8 facilities, 2025. ³ Industry RAM benchmarking organizations (e.g., Solomon Associates for hydrocarbons; equivalent benchmarking exists for power, metals, pulp &amp; paper, and chemicals).</w:t>
      </w:r>
    </w:p>
    <w:p>
      <w:pPr>
        <w:pStyle w:val="Heading2"/>
      </w:pPr>
      <w:r>
        <w:rPr>
          <w:b w:val="0"/>
          <w:i w:val="0"/>
        </w:rPr>
        <w:t>What Kav AI is — and is not</w:t>
      </w:r>
    </w:p>
    <w:p>
      <w:pPr>
        <w:spacing w:before="0" w:after="120"/>
      </w:pPr>
      <w:r>
        <w:rPr>
          <w:b w:val="0"/>
          <w:i w:val="0"/>
        </w:rPr>
        <w:t>To anchor procurement and partner conversations on the same operating identity, the platform's boundaries are stated explicitly:</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 xml:space="preserve">Kav AI </w:t>
            </w:r>
            <w:r>
              <w:rPr>
                <w:rFonts w:ascii="Arial" w:hAnsi="Arial"/>
                <w:b/>
                <w:i w:val="0"/>
                <w:color w:val="FFFFFF"/>
                <w:sz w:val="20"/>
              </w:rPr>
              <w:t>is</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 xml:space="preserve">Kav AI </w:t>
            </w:r>
            <w:r>
              <w:rPr>
                <w:rFonts w:ascii="Arial" w:hAnsi="Arial"/>
                <w:b/>
                <w:i w:val="0"/>
                <w:color w:val="FFFFFF"/>
                <w:sz w:val="20"/>
              </w:rPr>
              <w:t>is not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 continuous integrity intelligence layer that observes, reasons, and recommends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 control system. It never actuates equipment or writes commands to plant control systems.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 vertical platform for asset integrity and predictive maintenance in asset-intensive industries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 general-purpose industrial AI platform</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Hardware-agnostic across drones, robots, fixed sensors, and control / historian systems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 robotics company. Locomotion is delegated to commodity legged, wheeled, and flying platforms.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 decision-support tool for qualified integrity, reliability, and inspection engineers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 replacement for operators or engineers. Human oversight is a design requirement.</w:t>
            </w:r>
          </w:p>
        </w:tc>
      </w:tr>
    </w:tbl>
    <w:p>
      <w:pPr>
        <w:spacing w:before="40" w:after="120"/>
      </w:pPr>
    </w:p>
    <w:p>
      <w:pPr>
        <w:pStyle w:val="Heading2"/>
      </w:pPr>
      <w:r>
        <w:rPr>
          <w:b w:val="0"/>
          <w:i w:val="0"/>
        </w:rPr>
        <w:t>Competitive Moat</w:t>
      </w:r>
    </w:p>
    <w:p>
      <w:pPr>
        <w:spacing w:before="0" w:after="120"/>
      </w:pPr>
      <w:r>
        <w:rPr>
          <w:b w:val="0"/>
          <w:i w:val="0"/>
        </w:rPr>
        <w:t>Kav AI's durable advantage rests on five reinforcing pillars that no single incumbent or combination of point solutions replicates: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Pillar</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What it means</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Why it's hard to replicate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Closed-loop integrity intelligence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The only platform that connects visual inspection + operational / process data + failure mechanism reasoning + risk quantification + recommended action in a single automated chain (operating-limit exceedance → damage / failure mechanism → RBI risk → inspection plan).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Requires the integrity domain model (industry-specific failure-mode catalogs and RBI methodology), the multimodal AI pipeline, and the 3D spatial model — all tightly integrated. No incumbent owns all three.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Cross-source correlation engine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Findings from drone campaigns, robot patrols, and operational data are tagged, matched within a 2 m spatial radius, and rescored across independent sources. Multi-source confirmed findings target </w:t>
            </w:r>
            <w:r>
              <w:rPr>
                <w:rFonts w:ascii="Arial" w:hAnsi="Arial"/>
                <w:b/>
                <w:i w:val="0"/>
                <w:color w:val="111111"/>
                <w:sz w:val="20"/>
              </w:rPr>
              <w:t>TPR &gt; 98% / FPR &lt; 2%</w:t>
            </w:r>
            <w:r>
              <w:rPr>
                <w:rFonts w:ascii="Arial" w:hAnsi="Arial"/>
                <w:b w:val="0"/>
                <w:i w:val="0"/>
                <w:color w:val="111111"/>
                <w:sz w:val="20"/>
              </w:rPr>
              <w: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Requires both the multimodal sensing layer </w:t>
            </w:r>
            <w:r>
              <w:rPr>
                <w:rFonts w:ascii="Arial" w:hAnsi="Arial"/>
                <w:b w:val="0"/>
                <w:i/>
                <w:color w:val="111111"/>
                <w:sz w:val="20"/>
              </w:rPr>
              <w:t>and</w:t>
            </w:r>
            <w:r>
              <w:rPr>
                <w:rFonts w:ascii="Arial" w:hAnsi="Arial"/>
                <w:b w:val="0"/>
                <w:i w:val="0"/>
                <w:color w:val="111111"/>
                <w:sz w:val="20"/>
              </w:rPr>
              <w:t xml:space="preserve"> the spatial+temporal correlation primitive. Single-source competitors are structurally exposed to environmental noise.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flywheel</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Every inspection campaign and recurring patrol ingested improves facility-specific detection models. A customer who has run 10 campaigns and 90 days of repeat patrols has a progressively harder-to-replicate model tuned to their equipment, degradation patterns, route history, and operating conditions.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Model performance compounds with use. A competitor entering at campaign 1 faces the same cold-start problem Kav AI has already solved for that facility. This advantage widens with each campaign, patrol, and operator-confirmed outcome, and is reflected in the subscription model.</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Deployment speed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90-day pilot framework with measurable success criteria — vs. 6–18 months for large industrial-data-platform or enterprise RBI / APM implementations.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Purpose-built for inspection data operators already capture (drone and handheld imagery). No mandatory LiDAR, no mandatory engineering CAD, no 6-month data model mapping required.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End-to-end, hardware-agnostic, partner-integrated solution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Ingests data from any visual sensor (DJI, Skydio, Flyability, FLIR), autonomous robot patrols via KRSI, any control / SCADA vendor via OPC UA (IEC 62541), and any historian (PI, InfluxDB, TimescaleDB, generic SQL), while accepting multiple engineering-model formats. The Active Physical Intelligence loop is delivered jointly with qualified mechanical-integrity / reliability engineering partners who own the human-in-the-loop validation seat.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 vendor lock-in at any layer. Operators keep their existing capture hardware, fleet vendors, control systems, and engineering systems. Kav AI adds the intelligence layer, partners add the engineering judgment, without requiring infrastructure replacement.</w:t>
            </w:r>
          </w:p>
        </w:tc>
      </w:tr>
    </w:tbl>
    <w:p>
      <w:pPr>
        <w:spacing w:before="40" w:after="120"/>
      </w:pPr>
    </w:p>
    <w:p>
      <w:pPr>
        <w:spacing w:before="0" w:after="120"/>
      </w:pPr>
      <w:r>
        <w:rPr>
          <w:b w:val="0"/>
          <w:i w:val="0"/>
        </w:rPr>
        <w:t>The moat deepens with every deployment: each facility's data trains better models, each integration validates the connector ecosystem, each partner review sharpens the integrity domain model, and each successful pilot becomes a reference customer. This is not a feature advantage — it is a compounding system advantage.</w:t>
      </w:r>
    </w:p>
    <w:p>
      <w:pPr>
        <w:pStyle w:val="Heading1"/>
      </w:pPr>
      <w:r>
        <w:rPr>
          <w:b w:val="0"/>
          <w:i w:val="0"/>
        </w:rPr>
        <w:t>The Opportunity</w:t>
      </w:r>
    </w:p>
    <w:p>
      <w:pPr>
        <w:pStyle w:val="Heading2"/>
      </w:pPr>
      <w:r>
        <w:rPr>
          <w:b w:val="0"/>
          <w:i w:val="0"/>
        </w:rPr>
        <w:t>Market context</w:t>
      </w:r>
    </w:p>
    <w:p>
      <w:pPr>
        <w:spacing w:before="0" w:after="120"/>
      </w:pPr>
      <w:r>
        <w:rPr>
          <w:b w:val="0"/>
          <w:i w:val="0"/>
        </w:rPr>
        <w:t xml:space="preserve">Kav AI's target market is </w:t>
      </w:r>
      <w:r>
        <w:rPr>
          <w:b/>
          <w:i w:val="0"/>
        </w:rPr>
        <w:t>asset-intensive industrial operators</w:t>
      </w:r>
      <w:r>
        <w:rPr>
          <w:b w:val="0"/>
          <w:i w:val="0"/>
        </w:rPr>
        <w:t xml:space="preserve"> — steel and metals plants, power stations, chemical sites, pulp &amp; paper mills, cement works, mining and minerals processing, and downstream hydrocarbon facilities. These operators face the same universal industrial challenge: inspection, maintenance, and operational data live in separate silos, and the people responsible for facility safety and uptime spend significant time manually correlating data across them. The combination of regulatory and insurance scrutiny, the cost of unplanned downtime (commonly six- to seven-figure sums per day at large sites), and the maturing adoption of risk-based inspection (RBI) makes this segment the market where Kav AI's closed-loop integrity intelligence delivers the fastest, most measurable value.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Market segment</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2024/2025 size</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Projected 2030</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Drone inspection &amp; monitoring⁴</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$16.4B (2024)</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$38B at 15% CAGR</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Industrial AI⁵</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$47B (2024)</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&gt;14% CAGR</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Global SCADA / industrial control⁶</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$12.9B (2025)</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$20B</w:t>
            </w:r>
          </w:p>
        </w:tc>
      </w:tr>
    </w:tbl>
    <w:p>
      <w:pPr>
        <w:spacing w:before="40" w:after="120"/>
      </w:pPr>
    </w:p>
    <w:p>
      <w:pPr>
        <w:spacing w:before="40" w:after="160"/>
        <w:jc w:val="left"/>
      </w:pPr>
      <w:r>
        <w:rPr>
          <w:i/>
          <w:color w:val="666666"/>
          <w:sz w:val="19"/>
        </w:rPr>
        <w:t>⁴ MarketsandMarkets, Drone Inspection and Monitoring Market Report, 2024. ⁵ Grand View Research, Industrial AI Market Analysis, 2024. ⁶ MarketsandMarkets, SCADA Market Global Forecast to 2030, 2025.</w:t>
      </w:r>
    </w:p>
    <w:p>
      <w:pPr>
        <w:pStyle w:val="Heading3"/>
      </w:pPr>
      <w:r>
        <w:rPr>
          <w:b w:val="0"/>
          <w:i w:val="0"/>
        </w:rPr>
        <w:t>Industries served</w:t>
      </w:r>
    </w:p>
    <w:p>
      <w:pPr>
        <w:spacing w:before="0" w:after="120"/>
      </w:pPr>
      <w:r>
        <w:rPr>
          <w:b w:val="0"/>
          <w:i w:val="0"/>
        </w:rPr>
        <w:t>Kav AI's platform is industry-agnostic. The same observe-reason-recommend loop and analytical chain apply across the asset-intensive sectors below. Domain configuration (failure-mode catalogs, applicable codes, equipment register schema) is loaded per industry during onboarding.</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Industry</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Representative assets</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Representative degradation / failure modes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Steel &amp; metals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Blast furnaces, BOF / EAF shops, coke ovens, rolling mills, continuous casters, ladles, utility piping, gas-cleaning plant, conveyors, cranes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Refractory wear, thermal fatigue, scale, abrasion, erosion-corrosion, weld fatigue, structural fatigue, hydrogen attack</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Power generation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Boilers, turbines, heat exchangers, condensers, cooling towers, BOP piping, transformers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Creep, thermal fatigue, flow-accelerated corrosion, scaling, fouling</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Chemicals &amp; petrochemicals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Reactors, distillation columns, heat exchangers, storage tanks, piping circuits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Corrosion (uniform / localized), CUI, SCC, embrittlement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Pulp &amp; paper</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Digesters, recovery boilers, evaporators, lime kilns, bleach plant equipment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Caustic embrittlement, erosion, thermal cycling, refractory wear</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Cement &amp; minerals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Kilns, crushers, mills, conveyors, bag-houses, structural steelwork</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Abrasion, refractory wear, thermal fatigue, structural fatigue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Mining &amp; minerals processing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Crushers, mills, flotation cells, thickeners, conveyors, tailings infrastructure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Wear, corrosion, structural fatigue, scaling</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Downstream hydrocarbons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Refineries, gas plants, LNG terminals, pipework, vessels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Corrosion (incl. CUI), erosion, fouling, fatigue</w:t>
            </w:r>
          </w:p>
        </w:tc>
      </w:tr>
    </w:tbl>
    <w:p>
      <w:pPr>
        <w:spacing w:before="40" w:after="120"/>
      </w:pPr>
    </w:p>
    <w:p>
      <w:pPr>
        <w:pStyle w:val="Heading3"/>
      </w:pPr>
      <w:r>
        <w:rPr>
          <w:b w:val="0"/>
          <w:i w:val="0"/>
        </w:rPr>
        <w:t>Phased market entry</w:t>
      </w:r>
    </w:p>
    <w:p>
      <w:pPr>
        <w:spacing w:before="0" w:after="120"/>
      </w:pPr>
      <w:r>
        <w:rPr>
          <w:b w:val="0"/>
          <w:i w:val="0"/>
        </w:rPr>
        <w:t>Once Kav AI establishes reference customers and repeatable deployment in its initial industries, the platform expands across adjacent asset-intensive sectors using the same architecture and a configurable knowledge pack per industry.</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Phase</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Focus</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Entry trigger</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Phase 1 (current)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Initial industrial reference customers across 1–2 sectors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Active inspection and pilot engagements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Phase 2</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Adjacent process / heavy-manufacturing sectors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First production-scale reference customer; autonomous robot coverage validated in large outdoor / hot-environment areas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Phase 3</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Power generation and other rotating-equipment-heavy sectors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Proven control-system / OPC UA connector ecosystem; 5+ facility deployments; CAD / engineering context reusable across industries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Phase 4</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Lifecycle / decommissioning and high-regulation sites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Lifetime retention model, dose-aware robot workflow, and compliance package validated with a design partner</w:t>
            </w:r>
          </w:p>
        </w:tc>
      </w:tr>
    </w:tbl>
    <w:p>
      <w:pPr>
        <w:spacing w:before="40" w:after="120"/>
      </w:pPr>
    </w:p>
    <w:p>
      <w:pPr>
        <w:pStyle w:val="Heading2"/>
      </w:pPr>
      <w:r>
        <w:rPr>
          <w:b w:val="0"/>
          <w:i w:val="0"/>
        </w:rPr>
        <w:t>Why now</w:t>
      </w:r>
    </w:p>
    <w:p>
      <w:pPr>
        <w:spacing w:before="0" w:after="120"/>
      </w:pPr>
      <w:r>
        <w:rPr>
          <w:b w:val="0"/>
          <w:i w:val="0"/>
        </w:rPr>
        <w:t>Four enabling technologies reached production readiness between 2023 and 2024 and only now make the Kav AI platform feasible at scale:</w:t>
      </w:r>
    </w:p>
    <w:p>
      <w:pPr>
        <w:spacing w:before="0" w:after="60"/>
        <w:ind w:left="504" w:hanging="288"/>
      </w:pPr>
      <w:r>
        <w:rPr>
          <w:b w:val="0"/>
        </w:rPr>
        <w:t xml:space="preserve">•  </w:t>
      </w:r>
      <w:r>
        <w:rPr>
          <w:b/>
          <w:i w:val="0"/>
        </w:rPr>
        <w:t>Photorealistic 3D from drone imagery</w:t>
      </w:r>
      <w:r>
        <w:rPr>
          <w:b w:val="0"/>
          <w:i w:val="0"/>
        </w:rPr>
        <w:t xml:space="preserve"> — 3D Gaussian Splatting (3DGS) now creates navigable, photo-quality facility models directly from standard drone imagery. Before 3DGS, equivalent fidelity required LiDAR at 100x the cost.</w:t>
      </w:r>
    </w:p>
    <w:p>
      <w:pPr>
        <w:spacing w:before="0" w:after="60"/>
        <w:ind w:left="504" w:hanging="288"/>
      </w:pPr>
      <w:r>
        <w:rPr>
          <w:b w:val="0"/>
        </w:rPr>
        <w:t xml:space="preserve">•  </w:t>
      </w:r>
      <w:r>
        <w:rPr>
          <w:b/>
          <w:i w:val="0"/>
        </w:rPr>
        <w:t>Multimodal AI reasoning</w:t>
      </w:r>
      <w:r>
        <w:rPr>
          <w:b w:val="0"/>
          <w:i w:val="0"/>
        </w:rPr>
        <w:t xml:space="preserve"> — multimodal large language models crossed the threshold for correlating visual, thermal, and sensor data in a single analysis — the foundation for connecting what you see with what your instruments tell you.</w:t>
      </w:r>
    </w:p>
    <w:p>
      <w:pPr>
        <w:spacing w:before="0" w:after="60"/>
        <w:ind w:left="504" w:hanging="288"/>
      </w:pPr>
      <w:r>
        <w:rPr>
          <w:b w:val="0"/>
        </w:rPr>
        <w:t xml:space="preserve">•  </w:t>
      </w:r>
      <w:r>
        <w:rPr>
          <w:b/>
          <w:i w:val="0"/>
        </w:rPr>
        <w:t>Vendor-neutral control-system access</w:t>
      </w:r>
      <w:r>
        <w:rPr>
          <w:b w:val="0"/>
          <w:i w:val="0"/>
        </w:rPr>
        <w:t xml:space="preserve"> — OPC UA adoption reached the level required for read-only integration across the major DCS / SCADA vendors (Emerson, Siemens, AVEVA, Rockwell, Honeywell, Ignition, and others) without vendor lock-in.</w:t>
      </w:r>
    </w:p>
    <w:p>
      <w:pPr>
        <w:spacing w:before="0" w:after="60"/>
        <w:ind w:left="504" w:hanging="288"/>
      </w:pPr>
      <w:r>
        <w:rPr>
          <w:b w:val="0"/>
        </w:rPr>
        <w:t xml:space="preserve">•  </w:t>
      </w:r>
      <w:r>
        <w:rPr>
          <w:b/>
          <w:i w:val="0"/>
        </w:rPr>
        <w:t>Plug-and-play AI tools</w:t>
      </w:r>
      <w:r>
        <w:rPr>
          <w:b w:val="0"/>
          <w:i w:val="0"/>
        </w:rPr>
        <w:t xml:space="preserve"> — new integration standards make it possible to connect AI directly to specialized detection models as callable tools — removing the custom integration work that previously made multi-sensor AI pipelines impractical.</w:t>
      </w:r>
    </w:p>
    <w:p>
      <w:pPr>
        <w:pStyle w:val="Heading2"/>
      </w:pPr>
      <w:r>
        <w:rPr>
          <w:b w:val="0"/>
          <w:i w:val="0"/>
        </w:rPr>
        <w:t>Competitive landscape</w:t>
      </w:r>
    </w:p>
    <w:p>
      <w:pPr>
        <w:spacing w:before="0" w:after="120"/>
      </w:pPr>
      <w:r>
        <w:rPr>
          <w:b w:val="0"/>
          <w:i w:val="0"/>
        </w:rPr>
        <w:t xml:space="preserve">Kav AI's most important competitor is the combination of tools the integrity / reliability team already pays for: an APM / predictive-maintenance platform, a process historian, and a CMMS / EAM (e.g., SAP PM, Maximo, or SAP APM). In steel production, the clearest named incumbent is </w:t>
      </w:r>
      <w:r>
        <w:rPr>
          <w:b/>
          <w:i w:val="0"/>
        </w:rPr>
        <w:t>AVEVA APM with the PI System</w:t>
      </w:r>
      <w:r>
        <w:rPr>
          <w:b w:val="0"/>
          <w:i w:val="0"/>
        </w:rPr>
        <w:t>: it already connects blast-furnace, EAF, caster, rolling-mill, and mining/logistics telemetry into predictive-maintenance workflows. Kav AI must demonstrate that it delivers more value than extending this incumbent stack alone.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Platform</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What they do well</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What they lack</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Kav AI position</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AVEVA APM + PI System for steel production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Strongest steel-specific incumbent. PI Data Archive and Asset Framework organize high-frequency OT tags into asset models; AVEVA Predictive Analytics / PRiSM uses OPTiCS advanced pattern recognition to learn "known good" behavior; CONNECT, Production Management, and Mobile Operator extend the digital thread from engineering templates to operations, OEE, quality, and field workflows. Public steel / metals examples include blast-furnace refractory wear modeling, EAF power-curve optimization, hot-strip-mill roll-track anomaly classification, rolling-stand condition monitoring, and pit-to-port logistics optimization.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Historian- and APM-centric. Its predictive layer is strongest where dense sensor tags already exist, but it does not natively create a photorealistic 3D spatial record from inspection imagery, does not fuse drone / robot visual evidence with operational telemetry inside the same geometry, and does not provide Kav AI's closed-loop failure-mechanism → risk → physical-validation workflow. Post-OSIsoft commercial and support transitions can also create upgrade friction for legacy PI customers.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Treat AVEVA as the primary steel competitor and a likely integration source. PI provides the </w:t>
            </w:r>
            <w:r>
              <w:rPr>
                <w:rFonts w:ascii="Arial" w:hAnsi="Arial"/>
                <w:b/>
                <w:i w:val="0"/>
                <w:color w:val="111111"/>
                <w:sz w:val="20"/>
              </w:rPr>
              <w:t>When</w:t>
            </w:r>
            <w:r>
              <w:rPr>
                <w:rFonts w:ascii="Arial" w:hAnsi="Arial"/>
                <w:b w:val="0"/>
                <w:i w:val="0"/>
                <w:color w:val="111111"/>
                <w:sz w:val="20"/>
              </w:rPr>
              <w:t xml:space="preserve"> (time-series) and much of the </w:t>
            </w:r>
            <w:r>
              <w:rPr>
                <w:rFonts w:ascii="Arial" w:hAnsi="Arial"/>
                <w:b/>
                <w:i w:val="0"/>
                <w:color w:val="111111"/>
                <w:sz w:val="20"/>
              </w:rPr>
              <w:t>asset context</w:t>
            </w:r>
            <w:r>
              <w:rPr>
                <w:rFonts w:ascii="Arial" w:hAnsi="Arial"/>
                <w:b w:val="0"/>
                <w:i w:val="0"/>
                <w:color w:val="111111"/>
                <w:sz w:val="20"/>
              </w:rPr>
              <w:t xml:space="preserve">; Kav AI adds the </w:t>
            </w:r>
            <w:r>
              <w:rPr>
                <w:rFonts w:ascii="Arial" w:hAnsi="Arial"/>
                <w:b/>
                <w:i w:val="0"/>
                <w:color w:val="111111"/>
                <w:sz w:val="20"/>
              </w:rPr>
              <w:t>Where</w:t>
            </w:r>
            <w:r>
              <w:rPr>
                <w:rFonts w:ascii="Arial" w:hAnsi="Arial"/>
                <w:b w:val="0"/>
                <w:i w:val="0"/>
                <w:color w:val="111111"/>
                <w:sz w:val="20"/>
              </w:rPr>
              <w:t xml:space="preserve"> (3D spatial evidence), the </w:t>
            </w:r>
            <w:r>
              <w:rPr>
                <w:rFonts w:ascii="Arial" w:hAnsi="Arial"/>
                <w:b/>
                <w:i w:val="0"/>
                <w:color w:val="111111"/>
                <w:sz w:val="20"/>
              </w:rPr>
              <w:t>What</w:t>
            </w:r>
            <w:r>
              <w:rPr>
                <w:rFonts w:ascii="Arial" w:hAnsi="Arial"/>
                <w:b w:val="0"/>
                <w:i w:val="0"/>
                <w:color w:val="111111"/>
                <w:sz w:val="20"/>
              </w:rPr>
              <w:t xml:space="preserve"> (visual / thermal anomaly and failure-mechanism reasoning), and the </w:t>
            </w:r>
            <w:r>
              <w:rPr>
                <w:rFonts w:ascii="Arial" w:hAnsi="Arial"/>
                <w:b/>
                <w:i w:val="0"/>
                <w:color w:val="111111"/>
                <w:sz w:val="20"/>
              </w:rPr>
              <w:t>So what</w:t>
            </w:r>
            <w:r>
              <w:rPr>
                <w:rFonts w:ascii="Arial" w:hAnsi="Arial"/>
                <w:b w:val="0"/>
                <w:i w:val="0"/>
                <w:color w:val="111111"/>
                <w:sz w:val="20"/>
              </w:rPr>
              <w:t xml:space="preserve"> (engineer-confirmed inspection plan). Kav AI should read from PI / AVEVA via OPC UA or PI Web API and return confirmed findings to the customer's chosen APM / EAM workflow.</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Other established RBI / APM platforms</w:t>
            </w:r>
            <w:r>
              <w:rPr>
                <w:rFonts w:ascii="Arial" w:hAnsi="Arial"/>
                <w:b w:val="0"/>
                <w:i w:val="0"/>
                <w:color w:val="111111"/>
                <w:sz w:val="20"/>
              </w:rPr>
              <w:t xml:space="preserve"> (e.g., GE Vernova APM / Meridium, SAP APM, Hexagon ALI, sector-specific RBI tools)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Mature inspection planning, RBI methodology embedded, large installed base, enterprise-certified; SAP APM and SAP PM are especially relevant where operators already use Cumulocity / SAP work-management patterns.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 native visual inspection layer. No photorealistic 3D model. Cannot cross-reference an operating-limit exceedance with a physical image of the equipment unless custom integrations are built.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is the physical-world visibility layer these platforms lack. The two are complementary: the incumbent owns the engineering / maintenance record; Kav AI closes the loop between operational data and physical condition.</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Industrial data platforms</w:t>
            </w:r>
            <w:r>
              <w:rPr>
                <w:rFonts w:ascii="Arial" w:hAnsi="Arial"/>
                <w:b w:val="0"/>
                <w:i w:val="0"/>
                <w:color w:val="111111"/>
                <w:sz w:val="20"/>
              </w:rPr>
              <w:t xml:space="preserve"> (e.g., Cognite Data Fusion)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Data aggregation across IT, OT, and ET silos; knowledge graphs; automated workflows; partnerships with industrial digital-twin tooling</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Historically focused on metadata / engineering data. Visual inspection layer and photorealistic 3D facility mapping are non-native. High implementation complexity (6–18 months for enterprise deployments).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provides a lighter, vision-native alternative. The 3D model is built from drone imagery operators already capture — not from LiDAR or engineering CAD. 90-day pilot vs 6–18 month implementation.</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Autonomous inspection vendors</w:t>
            </w:r>
            <w:r>
              <w:rPr>
                <w:rFonts w:ascii="Arial" w:hAnsi="Arial"/>
                <w:b w:val="0"/>
                <w:i w:val="0"/>
                <w:color w:val="111111"/>
                <w:sz w:val="20"/>
              </w:rPr>
              <w:t xml:space="preserve"> (e.g., Percepto and similar)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Autonomous capture, real-time anomaly detection from flight data</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Narrow AI layer. No cross-modal reasoning with operational data. Limited control-system integration. Limited CAD / RBI context.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adds operational-data context, CAD-backed asset identity, and multi-modal reasoning a single-vendor capture stack cannot provide.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Specialist inspection robotics</w:t>
            </w:r>
            <w:r>
              <w:rPr>
                <w:rFonts w:ascii="Arial" w:hAnsi="Arial"/>
                <w:b w:val="0"/>
                <w:i w:val="0"/>
                <w:color w:val="111111"/>
                <w:sz w:val="20"/>
              </w:rPr>
              <w:t xml:space="preserve"> (e.g., Flyability for confined-space)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Strong NDT hardware integrations for close-contact inspection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 AI reasoning layer. No persistent 3D model. No operational data context.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Hardware-agnostic; Kav AI ingests their data as a compatible source.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Process historians alone</w:t>
            </w:r>
            <w:r>
              <w:rPr>
                <w:rFonts w:ascii="Arial" w:hAnsi="Arial"/>
                <w:b w:val="0"/>
                <w:i w:val="0"/>
                <w:color w:val="111111"/>
                <w:sz w:val="20"/>
              </w:rPr>
              <w:t xml:space="preserve"> (e.g., AVEVA / OSIsoft PI without APM workflow)</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Industry-standard real-time data backbone, extensive OT integration ecosystem, robust buffering / high-availability patterns, and mature visualization through PI Vision.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Historian-centric. Stores and contextualizes the time-series record, but does not by itself resolve the visual condition of refractory, structural, leakage, insulation, or access-constrained assets.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Not enough alone. The historian provides the </w:t>
            </w:r>
            <w:r>
              <w:rPr>
                <w:rFonts w:ascii="Arial" w:hAnsi="Arial"/>
                <w:b/>
                <w:i w:val="0"/>
                <w:color w:val="111111"/>
                <w:sz w:val="20"/>
              </w:rPr>
              <w:t>When</w:t>
            </w:r>
            <w:r>
              <w:rPr>
                <w:rFonts w:ascii="Arial" w:hAnsi="Arial"/>
                <w:b w:val="0"/>
                <w:i w:val="0"/>
                <w:color w:val="111111"/>
                <w:sz w:val="20"/>
              </w:rPr>
              <w:t>; Kav AI adds spatial inspection context and engineer-reviewed condition intelligence.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Rotating-equipment monitoring suites</w:t>
            </w:r>
            <w:r>
              <w:rPr>
                <w:rFonts w:ascii="Arial" w:hAnsi="Arial"/>
                <w:b w:val="0"/>
                <w:i w:val="0"/>
                <w:color w:val="111111"/>
                <w:sz w:val="20"/>
              </w:rPr>
              <w:t xml:space="preserve"> (e.g., Emerson Plantweb Optics + AMS, Siemens Senseye)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Deep historian integration, condition monitoring for rotating equipment, large installed base at heavy industrial operators; Senseye is relevant where Siemens Xcelerator and steel-mill predictive-maintenance deployments are already present.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Rotating-equipment or vendor-ecosystem focus. No native operating-limit module for fixed assets. No visual inspection layer. No photorealistic 3D model from drone imagery.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Different scope — these suites own rotating-equipment condition monitoring; Kav AI owns fixed equipment / visual inspection and cross-source physical validation. Coexistence, not displacement.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Asset lifecycle / EAM platforms</w:t>
            </w:r>
            <w:r>
              <w:rPr>
                <w:rFonts w:ascii="Arial" w:hAnsi="Arial"/>
                <w:b w:val="0"/>
                <w:i w:val="0"/>
                <w:color w:val="111111"/>
                <w:sz w:val="20"/>
              </w:rPr>
              <w:t xml:space="preserve"> (e.g., Hexagon ALI, IBM Maximo, SAP S/4 EAM)</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Comprehensive asset lifecycle management, P&amp;ID integration, inspection data management, inventory / procurement linkage, and work-order scheduling.</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Workflow and documentation-centric. No real-time AI anomaly detection. No photorealistic 3D model from drone imagery. High implementation cost and timeline.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deploys faster, provides AI-native anomaly detection, and feeds findings into the operator's existing compliance workflows. Kav AI lists EAM platforms as planned output connectors.</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Kav AI</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Visual inspection + operational data context + 3D spatial model + conversational AI + cross-source correlation engine — all unified in one platform, hardware-agnostic and system-agnostic. </w:t>
            </w:r>
            <w:r>
              <w:rPr>
                <w:rFonts w:ascii="Arial" w:hAnsi="Arial"/>
                <w:b/>
                <w:i w:val="0"/>
                <w:color w:val="111111"/>
                <w:sz w:val="20"/>
              </w:rPr>
              <w:t>The only platform that closes the full loop: sensor data → failure mechanism → risk score → inspection plan → physical validation — continuously, as Active Physical Intelligence.</w:t>
            </w:r>
            <w:r>
              <w:rPr>
                <w:rFonts w:ascii="Arial" w:hAnsi="Arial"/>
                <w:b w:val="0"/>
                <w:i w:val="0"/>
                <w:color w:val="111111"/>
                <w:sz w:val="20"/>
              </w:rPr>
              <w:t xml:space="preserve"> Multi-source confirmed findings target TPR &gt; 98% / FPR &lt; 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The only platform that reads visual inspection data and operational data in the same spatial model, runs cross-source confirmation across drone, robot, and operational data in one engine, and provides physical validation closure (Stage 4) that no incumbent offers.</w:t>
            </w:r>
          </w:p>
        </w:tc>
      </w:tr>
    </w:tbl>
    <w:p>
      <w:pPr>
        <w:spacing w:before="40" w:after="120"/>
      </w:pPr>
    </w:p>
    <w:p>
      <w:pPr>
        <w:spacing w:before="160" w:after="80"/>
        <w:jc w:val="center"/>
      </w:pPr>
      <w:r>
        <w:drawing>
          <wp:inline>
            <wp:extent cx="5760720" cy="2714337"/>
            <wp:docPr id="3" name="Picture 3"/>
            <wp:cNvGraphicFramePr>
              <a:graphicFrameLocks noChangeAspect="1"/>
            </wp:cNvGraphicFramePr>
            <a:graphic>
              <a:graphicData uri="http://schemas.openxmlformats.org/drawingml/2006/picture">
                <pic:pic>
                  <pic:nvPicPr>
                    <pic:cNvPr id="0" name="mermaid_fig2_1.png"/>
                    <pic:cNvPicPr/>
                  </pic:nvPicPr>
                  <pic:blipFill>
                    <a:blip r:embed="rId13"/>
                    <a:stretch>
                      <a:fillRect/>
                    </a:stretch>
                  </pic:blipFill>
                  <pic:spPr>
                    <a:xfrm>
                      <a:off x="0" y="0"/>
                      <a:ext cx="5760720" cy="2714337"/>
                    </a:xfrm>
                    <a:prstGeom prst="rect"/>
                  </pic:spPr>
                </pic:pic>
              </a:graphicData>
            </a:graphic>
          </wp:inline>
        </w:drawing>
      </w:r>
    </w:p>
    <w:p>
      <w:pPr>
        <w:spacing w:before="40" w:after="160"/>
        <w:jc w:val="left"/>
      </w:pPr>
      <w:r>
        <w:rPr>
          <w:i/>
          <w:color w:val="666666"/>
          <w:sz w:val="19"/>
        </w:rPr>
        <w:t>Figure 2.  System Architecture &amp; Purdue Model Alignment.  Kav AI connects to Level 3 Historians or OPC UA middleware, maintaining a strictly read-only relationship with the control network (Level 2). In v3.3, robot, CAD, and fixed-infrastructure sources continue to strengthen the integrity context while the OT boundary remains unchanged.</w:t>
      </w:r>
    </w:p>
    <w:p>
      <w:pPr>
        <w:pStyle w:val="Heading2"/>
      </w:pPr>
      <w:r>
        <w:rPr>
          <w:b w:val="0"/>
          <w:i w:val="0"/>
        </w:rPr>
        <w:t>The Data Flywheel — Kav AI's Compounding Advantage</w:t>
      </w:r>
    </w:p>
    <w:p>
      <w:pPr>
        <w:spacing w:before="0" w:after="120"/>
      </w:pPr>
      <w:r>
        <w:rPr>
          <w:b w:val="0"/>
          <w:i w:val="0"/>
        </w:rPr>
        <w:t>Kav AI's competitive moat is not static — it compounds with every inspection campaign a customer runs through the platform.</w:t>
      </w:r>
    </w:p>
    <w:p>
      <w:pPr>
        <w:spacing w:before="0" w:after="120"/>
      </w:pPr>
      <w:r>
        <w:rPr>
          <w:b/>
          <w:i w:val="0"/>
        </w:rPr>
        <w:t>How it works:</w:t>
      </w:r>
    </w:p>
    <w:p>
      <w:pPr>
        <w:spacing w:before="0" w:after="60"/>
        <w:ind w:left="504" w:hanging="288"/>
      </w:pPr>
      <w:r>
        <w:rPr>
          <w:b w:val="0"/>
        </w:rPr>
        <w:t xml:space="preserve">1.  </w:t>
      </w:r>
      <w:r>
        <w:rPr>
          <w:b/>
          <w:i w:val="0"/>
        </w:rPr>
        <w:t>Campaign ingestion</w:t>
      </w:r>
      <w:r>
        <w:rPr>
          <w:b w:val="0"/>
          <w:i w:val="0"/>
        </w:rPr>
        <w:t xml:space="preserve"> — Each inspection campaign (RGB, thermal, and other modalities) adds labeled examples of facility-specific defect patterns, degradation signatures, and equipment conditions to the training corpus.</w:t>
      </w:r>
    </w:p>
    <w:p>
      <w:pPr>
        <w:spacing w:before="0" w:after="60"/>
        <w:ind w:left="504" w:hanging="288"/>
      </w:pPr>
      <w:r>
        <w:rPr>
          <w:b w:val="0"/>
        </w:rPr>
        <w:t xml:space="preserve">2.  </w:t>
      </w:r>
      <w:r>
        <w:rPr>
          <w:b/>
          <w:i w:val="0"/>
        </w:rPr>
        <w:t>Patrol accumulation</w:t>
      </w:r>
      <w:r>
        <w:rPr>
          <w:b w:val="0"/>
          <w:i w:val="0"/>
        </w:rPr>
        <w:t xml:space="preserve"> — Repeated robot patrols add temporal history on the same assets, turning one-time detections into trendable condition signals.</w:t>
      </w:r>
    </w:p>
    <w:p>
      <w:pPr>
        <w:spacing w:before="0" w:after="60"/>
        <w:ind w:left="504" w:hanging="288"/>
      </w:pPr>
      <w:r>
        <w:rPr>
          <w:b w:val="0"/>
        </w:rPr>
        <w:t xml:space="preserve">3.  </w:t>
      </w:r>
      <w:r>
        <w:rPr>
          <w:b/>
          <w:i w:val="0"/>
        </w:rPr>
        <w:t>Model refinement</w:t>
      </w:r>
      <w:r>
        <w:rPr>
          <w:b w:val="0"/>
          <w:i w:val="0"/>
        </w:rPr>
        <w:t xml:space="preserve"> — Detection models are retrained on the expanded dataset after each campaign and patrol cycle. Facility-specific patterns (e.g., refractory wear signatures on a specific lining type, thermal profiles unique to a particular furnace or heat exchanger configuration) improve detection precision.</w:t>
      </w:r>
    </w:p>
    <w:p>
      <w:pPr>
        <w:spacing w:before="0" w:after="60"/>
        <w:ind w:left="504" w:hanging="288"/>
      </w:pPr>
      <w:r>
        <w:rPr>
          <w:b w:val="0"/>
        </w:rPr>
        <w:t xml:space="preserve">4.  </w:t>
      </w:r>
      <w:r>
        <w:rPr>
          <w:b/>
          <w:i w:val="0"/>
        </w:rPr>
        <w:t>OOD detector calibration</w:t>
      </w:r>
      <w:r>
        <w:rPr>
          <w:b w:val="0"/>
          <w:i w:val="0"/>
        </w:rPr>
        <w:t xml:space="preserve"> — The Out-of-Distribution detector is retrained on the expanded input distribution, reducing false OOD flags and improving the signal-to-noise ratio for operators.</w:t>
      </w:r>
    </w:p>
    <w:p>
      <w:pPr>
        <w:spacing w:before="0" w:after="60"/>
        <w:ind w:left="504" w:hanging="288"/>
      </w:pPr>
      <w:r>
        <w:rPr>
          <w:b w:val="0"/>
        </w:rPr>
        <w:t xml:space="preserve">5.  </w:t>
      </w:r>
      <w:r>
        <w:rPr>
          <w:b/>
          <w:i w:val="0"/>
        </w:rPr>
        <w:t>Confidence calibration</w:t>
      </w:r>
      <w:r>
        <w:rPr>
          <w:b w:val="0"/>
          <w:i w:val="0"/>
        </w:rPr>
        <w:t xml:space="preserve"> — Empirical accuracy data from operator confirmations, dismissals, and cross-source corroboration refines the confidence scoring model, tightening the calibration curve.</w:t>
      </w:r>
    </w:p>
    <w:p>
      <w:pPr>
        <w:spacing w:before="0" w:after="120"/>
      </w:pPr>
      <w:r>
        <w:rPr>
          <w:b/>
          <w:i w:val="0"/>
        </w:rPr>
        <w:t>The compounding effect:</w:t>
      </w:r>
      <w:r>
        <w:rPr>
          <w:b w:val="0"/>
          <w:i w:val="0"/>
        </w:rPr>
        <w:t xml:space="preserve"> A customer who has run 10 campaigns and built months of repeat patrol history has a detection model tuned to their specific equipment, degradation patterns, route coverage, and operating conditions that a new entrant cannot replicate without running the same sequence. This advantage widens with each campaign and patrol — making Kav AI progressively harder to displace at each facility.</w:t>
      </w:r>
    </w:p>
    <w:p>
      <w:pPr>
        <w:spacing w:before="0" w:after="120"/>
      </w:pPr>
      <w:r>
        <w:rPr>
          <w:b/>
          <w:i w:val="0"/>
        </w:rPr>
        <w:t>Pricing alignment:</w:t>
      </w:r>
      <w:r>
        <w:rPr>
          <w:b w:val="0"/>
          <w:i w:val="0"/>
        </w:rPr>
        <w:t xml:space="preserve"> Campaign volume is reflected in the subscription model (see Appendix H). Higher-tier subscriptions include more campaigns per year, directly linking customer investment to model performance improvement.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Competitive risk acknowledgement — AVEVA steel-stack extension</w:t>
            </w:r>
          </w:p>
          <w:p>
            <w:pPr>
              <w:spacing w:before="0" w:after="0"/>
            </w:pPr>
            <w:r>
              <w:rPr>
                <w:rFonts w:ascii="Arial" w:hAnsi="Arial"/>
                <w:b w:val="0"/>
                <w:i w:val="0"/>
                <w:color w:val="222222"/>
                <w:sz w:val="20"/>
              </w:rPr>
              <w:t xml:space="preserve">The most likely named incumbent threat in steel is not a generic data-platform bundle; it is AVEVA extending PI System + APM + CONNECT + Production Management from predictive maintenance into more complete reliability decision support for steel plants. AVEVA already owns a strong OT data footprint, asset templating, and public metals proof points. </w:t>
            </w:r>
            <w:r>
              <w:rPr>
                <w:rFonts w:ascii="Arial" w:hAnsi="Arial"/>
                <w:b/>
                <w:i w:val="0"/>
                <w:color w:val="222222"/>
                <w:sz w:val="20"/>
              </w:rPr>
              <w:t>Kav AI's durable advantages if this happens:</w:t>
            </w:r>
            <w:r>
              <w:rPr>
                <w:rFonts w:ascii="Arial" w:hAnsi="Arial"/>
                <w:b w:val="0"/>
                <w:i w:val="0"/>
                <w:color w:val="222222"/>
                <w:sz w:val="20"/>
              </w:rPr>
              <w:t xml:space="preserve"> (1) Photorealistic 3D facility model built from drone / robot imagery operators already capture — AVEVA's strength is the time-series and engineering digital thread, not a vision-native spatial condition record; (2) Cross-source physical validation — Kav AI correlates visual / thermal findings, patrol history, and operating telemetry in the same geometry; (3) Failure-mechanism / inspection-plan closure — Kav AI is purpose-built to move from operating-limit exceedance to engineer-confirmed physical evidence and action, not only anomaly alerting; (4) Deployment speed and data flywheel — each inspection campaign compounds facility-specific models while the incumbent remains strongest where dense, well-contextualized tags already exist.</w:t>
            </w:r>
          </w:p>
        </w:tc>
      </w:tr>
    </w:tbl>
    <w:p>
      <w:pPr>
        <w:spacing w:before="40" w:after="120"/>
      </w:pPr>
    </w:p>
    <w:p>
      <w:pPr>
        <w:pStyle w:val="Heading1"/>
      </w:pPr>
      <w:r>
        <w:rPr>
          <w:b w:val="0"/>
          <w:i w:val="0"/>
        </w:rPr>
        <w:t>The Journey So Far</w:t>
      </w:r>
    </w:p>
    <w:p>
      <w:pPr>
        <w:spacing w:before="0" w:after="120"/>
      </w:pPr>
      <w:r>
        <w:rPr>
          <w:b w:val="0"/>
          <w:i w:val="0"/>
        </w:rPr>
        <w:t>Kav AI has been in development since May 2025. In less than a year, the platform has moved from a blank canvas to a live alpha with two major milestones fully delivered and a third in active shipment.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Milestone</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Name</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What was delivered</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Status</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M0</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Platform Foundation</w:t>
            </w:r>
            <w:r>
              <w:rPr>
                <w:rFonts w:ascii="Arial" w:hAnsi="Arial"/>
                <w:b w:val="0"/>
                <w:i w:val="0"/>
                <w:color w:val="111111"/>
                <w:sz w:val="20"/>
              </w:rPr>
              <w:t xml:space="preserve"> — Jul 2025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3D viewer, authentication, image gallery, and operator dashboard — validated with a first real-world inspection dataset (RGB imagery)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Complete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M1</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AI Foundation</w:t>
            </w:r>
            <w:r>
              <w:rPr>
                <w:rFonts w:ascii="Arial" w:hAnsi="Arial"/>
                <w:b w:val="0"/>
                <w:i w:val="0"/>
                <w:color w:val="111111"/>
                <w:sz w:val="20"/>
              </w:rPr>
              <w:t xml:space="preserve"> — Dec 2025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Multimodal AI pipeline, natural language interface, automated task coordination, and a machine vision engine prototype — validated with thermal imagery and gas sensor readings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Complete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App MVP</w:t>
            </w:r>
            <w:r>
              <w:rPr>
                <w:rFonts w:ascii="Arial" w:hAnsi="Arial"/>
                <w:b w:val="0"/>
                <w:i w:val="0"/>
                <w:color w:val="111111"/>
                <w:sz w:val="20"/>
              </w:rPr>
              <w:t xml:space="preserve"> — Mar 2026</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Production-ready 3D viewer and AI chat unified in a single operator interface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Complete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M3</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AI Q2 Delivery</w:t>
            </w:r>
            <w:r>
              <w:rPr>
                <w:rFonts w:ascii="Arial" w:hAnsi="Arial"/>
                <w:b w:val="0"/>
                <w:i w:val="0"/>
                <w:color w:val="111111"/>
                <w:sz w:val="20"/>
              </w:rPr>
              <w:t xml:space="preserve"> — Jun 2026</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Contextual data chat, persona workspaces, failure recovery, and agent evaluation tests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 progress</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v3.0/v3.1 foundation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Persistent sensing and engineering context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KRSI ingestion pattern, attachment module, CAD import pipeline, World Model Sync, and fixed-infrastructure design inputs validated in parallel workstreams — plus sensor-native analysis, actionable insights, chat with 3D map, interactive overlays, and automated reports rescheduled from Q2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 progress / integrated into v3.2 / v3.3 roadmap</w:t>
            </w:r>
          </w:p>
        </w:tc>
      </w:tr>
    </w:tbl>
    <w:p>
      <w:pPr>
        <w:spacing w:before="40" w:after="120"/>
      </w:pPr>
    </w:p>
    <w:p>
      <w:pPr>
        <w:pStyle w:val="Heading2"/>
      </w:pPr>
      <w:r>
        <w:rPr>
          <w:b w:val="0"/>
          <w:i w:val="0"/>
        </w:rPr>
        <w:t>What M0 and M1 proved</w:t>
      </w:r>
    </w:p>
    <w:p>
      <w:pPr>
        <w:spacing w:before="0" w:after="120"/>
      </w:pPr>
      <w:r>
        <w:rPr>
          <w:b w:val="0"/>
          <w:i w:val="0"/>
        </w:rPr>
        <w:t>The foundation milestones were validated against real inspection data — not synthetic benchmarks or demos. M0 was tested with a first inspection campaign producing RGB imagery from an industrial facility. M1 raised the bar: a second inspection campaign introduced thermal imagery alongside RGB, plus structured sensor readings — temperature, humidity, and ambient gas / atmospheric concentration. The AI pipeline was tested against this richer, multimodal dataset, reasoning across modalities on real industrial data.</w:t>
      </w:r>
    </w:p>
    <w:p>
      <w:pPr>
        <w:spacing w:before="0" w:after="120"/>
      </w:pPr>
      <w:r>
        <w:rPr>
          <w:b w:val="0"/>
          <w:i w:val="0"/>
        </w:rPr>
        <w:t>M1 also included a deliberate technical bet: a proof-of-concept machine vision engine, validating that defect detection models can be called on demand by the AI pipeline. The Q2 visual perception features build directly on that validated pattern.</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Third inspection campaign</w:t>
            </w:r>
          </w:p>
          <w:p>
            <w:pPr>
              <w:spacing w:before="0" w:after="0"/>
            </w:pPr>
            <w:r>
              <w:rPr>
                <w:rFonts w:ascii="Arial" w:hAnsi="Arial"/>
                <w:b w:val="0"/>
                <w:i w:val="0"/>
                <w:color w:val="222222"/>
                <w:sz w:val="20"/>
              </w:rPr>
              <w:t>A third inspection campaign is planned at an industrial reference site, with an expanded sensor suite including additional imagery modalities (e.g., calibrated thermal and gas-imaging where applicable), additional sensor measurements, and a path to repeat patrol comparison. This is the first real-world bridge between the campaign-based v2.9 workflow and the persistent robot-enabled v3.2 / v3.3 workflow.</w:t>
            </w:r>
          </w:p>
        </w:tc>
      </w:tr>
    </w:tbl>
    <w:p>
      <w:pPr>
        <w:spacing w:before="40" w:after="120"/>
      </w:pPr>
    </w:p>
    <w:p>
      <w:pPr>
        <w:pStyle w:val="Heading2"/>
      </w:pPr>
      <w:r>
        <w:rPr>
          <w:b w:val="0"/>
          <w:i w:val="0"/>
        </w:rPr>
        <w:t>MVP demonstration sequence</w:t>
      </w:r>
    </w:p>
    <w:p>
      <w:pPr>
        <w:spacing w:before="0" w:after="120"/>
      </w:pPr>
      <w:r>
        <w:rPr>
          <w:b w:val="0"/>
          <w:i w:val="0"/>
        </w:rPr>
        <w:t>In parallel with the platform milestones, Kav AI runs a public-facing MVP demonstration sequence that turns the engineering work above into outcomes a non-technical buyer can evaluate. v3.3 makes that mapping explicit: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MVP version</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Theme</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What it proves</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Platform milestone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MVP v0.1</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Detection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Anomaly identification on a single inspection dataset — "we found something interesting"</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M0 — Platform Foundation</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MVP v0.2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Repeatability + Scale + Decision Context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1,200 assets scanned, 37 thermal anomalies detected, 8 high-priority items, </w:t>
            </w:r>
            <w:r>
              <w:rPr>
                <w:rFonts w:ascii="Arial" w:hAnsi="Arial"/>
                <w:b/>
                <w:i w:val="0"/>
                <w:color w:val="111111"/>
                <w:sz w:val="20"/>
              </w:rPr>
              <w:t>65% unit coverage in one day</w:t>
            </w:r>
            <w:r>
              <w:rPr>
                <w:rFonts w:ascii="Arial" w:hAnsi="Arial"/>
                <w:b w:val="0"/>
                <w:i w:val="0"/>
                <w:color w:val="111111"/>
                <w:sz w:val="20"/>
              </w:rPr>
              <w:t>, with ranked inspection actions and a six- to seven-figure avoided-cost framing — "here are the 8 places you should inspect next, and why"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M1 / M2</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MVP v0.3</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Conversational Access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Contextual data chat in persona-tailored workspaces (Data Explorer &amp; Integrity Engineer), with validated agent reliability (evaluation tests and failure recovery)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M3 — AI Q2 Delivery</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MVP v0.4</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Closed loop on inspection evidence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 campaign goes from RGB and thermal imagery to an engineer's recorded decision, to an action and a report that cite their evidence — with an AI agent able to drive every step, and the platform reporting whether judgement is keeping up with ingestion. A functional prototype today; quantified risk is not part of this increment.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M4 — Persistent Sensing (Q3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MVP v0.5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Closed loop with process context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The same loop entered from operational telemetry: cross-source confirmation, robot patrol continuity, CAD-anchored asset identity, quantified inspection prioritization, and RBI / inspection-data-management workflow integration — detection → validation → action → feedback measured end-to-end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M5 — Engineering Context &amp; Enterprise (Q4 2026)</w:t>
            </w:r>
          </w:p>
        </w:tc>
      </w:tr>
    </w:tbl>
    <w:p>
      <w:pPr>
        <w:spacing w:before="40" w:after="120"/>
      </w:pPr>
    </w:p>
    <w:p>
      <w:pPr>
        <w:spacing w:before="0" w:after="120"/>
      </w:pPr>
      <w:r>
        <w:rPr>
          <w:b w:val="0"/>
          <w:i w:val="0"/>
        </w:rPr>
        <w:t>The Scale &amp; Impact section reports the MVP v0.2 evidence in detail. The Operations and Integrity Analytical Chain sections describe the workflow that MVP v0.3 / v0.4 / v0.5 instrument.</w:t>
      </w:r>
    </w:p>
    <w:p>
      <w:pPr>
        <w:pStyle w:val="Heading1"/>
      </w:pPr>
      <w:r>
        <w:rPr>
          <w:b w:val="0"/>
          <w:i w:val="0"/>
        </w:rPr>
        <w:t>Where We Are Going — Q3 and Q4 2026</w:t>
      </w:r>
    </w:p>
    <w:p>
      <w:pPr>
        <w:spacing w:before="0" w:after="120"/>
      </w:pPr>
      <w:r>
        <w:rPr>
          <w:b w:val="0"/>
          <w:i w:val="0"/>
        </w:rPr>
        <w:t>With the core AI platform closing in Q2, Kav AI's second half of 2026 focuses on two distinct ambitions: deepening integration across the full industrial data environment in Q3, and advancing the research capabilities that will define the platform's long-term intelligence in Q4.</w:t>
      </w:r>
    </w:p>
    <w:p>
      <w:pPr>
        <w:pStyle w:val="Heading2"/>
      </w:pPr>
      <w:r>
        <w:rPr>
          <w:b w:val="0"/>
          <w:i w:val="0"/>
        </w:rPr>
        <w:t>Q3 2026 — Deepening the platform</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Capability</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What it means for operators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Anomaly detection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AI-powered detection across the expanded sensor suite from the third inspection campaign — including calibrated thermal and additional modalities applicable to the customer's industry — surfacing anomalies automatically in the 3D model with severity scoring.</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Inspection-evidence entry to the integrity chain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The six-stage chain entered from RGB and thermal campaign imagery: candidates screened, findings raised as evidence-grounded claims on the industry failure-mechanism catalogue, decided by an engineer in an append-only log, and carried into actions, a campaign worklist, evidence-bound PDF reports and a campaign hand-off lifecycle — every step also operable by an AI agent acting as the signed-in user. A functional prototype today; quantified risk (Stage 5) is not part of this entry — see </w:t>
            </w:r>
            <w:r>
              <w:rPr>
                <w:rFonts w:ascii="Arial" w:hAnsi="Arial"/>
                <w:b w:val="0"/>
                <w:i/>
                <w:color w:val="111111"/>
                <w:sz w:val="20"/>
              </w:rPr>
              <w:t>The chain by evidence modality</w:t>
            </w:r>
            <w:r>
              <w:rPr>
                <w:rFonts w:ascii="Arial" w:hAnsi="Arial"/>
                <w:b w:val="0"/>
                <w:i w:val="0"/>
                <w:color w:val="111111"/>
                <w:sz w:val="20"/>
              </w:rPr>
              <w:t xml:space="preserve"> in the Integrity Analytical Chain section.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Expanded sensor ingestion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Structured ingestion from additional imagery modalities, calibrated thermal, and expanded sensor measurements aligned with the planned third inspection campaign at an industrial reference site. Field survey readings carry ambient temperature, humidity and pressure alongside gas concentrations, so they are also the chain's first operating-condition input — the ambient reference for thermal anomalies and the environmental factors for mechanism plausibility.</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Time series signals &amp; control-system connectors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Read-only ingestion of time series data from DCS / SCADA systems, vibration sensors, and process historians via OPC UA (IEC 62541) — the industrial middleware standard that decouples Kav AI from any specific control-system vendor. Operational data is the chain's process-telemetry entry — the same six stages already entered from inspection evidence, now with true operating-limit checks at Stage 2 and quantified risk at Stage 5 (see the Integrity Analytical Chain section).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Geo-tagged assets &amp; images in 3D</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Every asset anchored to its precise location in the 3D model. Inspection imagery displayed directly in 3D space.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Contextual data chat — Phase 1</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Compound queries across multiple data sources, human-in-the-loop confirmation for high-consequence actions, and a skills registry that learns facility-specific query patterns over time.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CAD (IFC4) &amp; P&amp;ID (DEXPI) open-standard ingestion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Open, vendor-neutral ingestion of CAD geometry (IFC4 BIM STEP) and logical P&amp;IDs (DEXPI), with deterministic dual-tagging linking legacy CAD tags to operator tags and the asset record. Demonstrated at 100% coverage on one example process unit. Full P&amp;ID database (SQL) connector and CAD overlay remain Q4.</w:t>
            </w:r>
          </w:p>
        </w:tc>
      </w:tr>
    </w:tbl>
    <w:p>
      <w:pPr>
        <w:spacing w:before="40" w:after="120"/>
      </w:pPr>
    </w:p>
    <w:p>
      <w:pPr>
        <w:pStyle w:val="Heading2"/>
      </w:pPr>
      <w:r>
        <w:rPr>
          <w:b w:val="0"/>
          <w:i w:val="0"/>
        </w:rPr>
        <w:t>Q4 2026 — Completing the platform and advancing the intelligence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Engineering capability</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What it means for operators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3D CAD model overlay</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 design models overlaid on the photorealistic 3D facility model — operators can compare the as-built facility against the engineering design to identify deviations. v3.2 extends this into version tracking and as-built vs as-designed comparison.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P&amp;ID SQL connector</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Direct read access to the plant's piping and instrumentation database — the 3D model reflects engineering documentation without requiring parallel data entry.</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Security certification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Enterprise security certification — SOC 2 Type II target, meeting the data governance requirements of major industrial operators and enabling procurement through enterprise security review processes.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Compliance management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End-to-end compliance workflows — tracking inspection coverage, flagged anomalies, and corrective actions taken into audit-ready records for regulatory submissions.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Customer cloud tenant deployment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Container-based deployment package into the operator's own cloud tenant (Azure, AWS) — the operator controls the infrastructure and no data leaves their environment. Fully air-gapped on-premise deployment follows in M7 (Q2 2027). See the Deployment Architecture section for full details.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Full spatial navigation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3D walkthrough, asset search in images, manual data entry, and view from any angle including confined spaces. The same spatial layer now supports repeatable robot patrol localization via fixed infrastructure.</w:t>
            </w:r>
          </w:p>
        </w:tc>
      </w:tr>
    </w:tbl>
    <w:p>
      <w:pPr>
        <w:spacing w:before="40" w:after="120"/>
      </w:pP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Research-dependent capability (Q4*)</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Research question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Physical AI reasoning &amp; remediation advice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Grounding LLM-generated remediation advice in the engineering domain model of the specific facility at safety-critical reliability thresholds. Requires Q2 spike to confirm feasibility before engineering commitment.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Facility-specific model training</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Synthetic training data calibrated to the specific visual and thermal signatures of each facility. Research question: whether synthetic imagery (e.g., thermal, gas-imaging where applicable) can improve rather than degrade detection performance.</w:t>
            </w:r>
          </w:p>
        </w:tc>
      </w:tr>
    </w:tbl>
    <w:p>
      <w:pPr>
        <w:spacing w:before="40" w:after="120"/>
      </w:pPr>
    </w:p>
    <w:p>
      <w:pPr>
        <w:spacing w:before="40" w:after="160"/>
        <w:jc w:val="left"/>
      </w:pPr>
      <w:r>
        <w:rPr>
          <w:i/>
          <w:color w:val="666666"/>
          <w:sz w:val="19"/>
        </w:rPr>
        <w:t>Q4* items are research-dependent, contingent on Q2 spike outcomes. Their deferral to 2027 does not affect the engineering workstream above.</w:t>
      </w:r>
    </w:p>
    <w:p>
      <w:pPr>
        <w:pStyle w:val="Heading2"/>
      </w:pPr>
      <w:r>
        <w:rPr>
          <w:b w:val="0"/>
          <w:i w:val="0"/>
        </w:rPr>
        <w:t>AI Engine and Machine Vision</w:t>
      </w:r>
    </w:p>
    <w:p>
      <w:pPr>
        <w:spacing w:before="0" w:after="120"/>
      </w:pPr>
      <w:r>
        <w:rPr>
          <w:b w:val="0"/>
          <w:i w:val="0"/>
        </w:rPr>
        <w:t>Kav AI's AI engine coordinates specialized defect detection models — each trained for a specific modality (RGB, thermal, and other imagery types as applicable to the customer's industry) — and calls them on demand as part of the analytical pipeline. From v3.2 onward, that orchestration layer also becomes the convergence point for robot patrol findings, CAD-linked asset identity, and cross-source confirmation. v3.3 brings the cross-source confirmation engine to the front of the user-facing narrative: independent sources are the unit of confidence, and the engine is what converts a noisy single-modality signal into a multi-source confirmed finding.</w:t>
      </w:r>
    </w:p>
    <w:p>
      <w:pPr>
        <w:spacing w:before="0" w:after="60"/>
        <w:ind w:left="504" w:hanging="288"/>
      </w:pPr>
      <w:r>
        <w:rPr>
          <w:b w:val="0"/>
        </w:rPr>
        <w:t xml:space="preserve">•  </w:t>
      </w:r>
      <w:r>
        <w:rPr>
          <w:b/>
          <w:i w:val="0"/>
        </w:rPr>
        <w:t>Model Versioning &amp; Rollback</w:t>
      </w:r>
      <w:r>
        <w:rPr>
          <w:b w:val="0"/>
          <w:i w:val="0"/>
        </w:rPr>
        <w:t>: Each detection model is tagged with a version ID. The platform can switch model versions or roll back to a proven baseline if performance degrades on specific asset types.</w:t>
      </w:r>
    </w:p>
    <w:p>
      <w:pPr>
        <w:spacing w:before="0" w:after="60"/>
        <w:ind w:left="504" w:hanging="288"/>
      </w:pPr>
      <w:r>
        <w:rPr>
          <w:b w:val="0"/>
        </w:rPr>
        <w:t xml:space="preserve">•  </w:t>
      </w:r>
      <w:r>
        <w:rPr>
          <w:b/>
          <w:i w:val="0"/>
        </w:rPr>
        <w:t>Detection Speed</w:t>
      </w:r>
      <w:r>
        <w:rPr>
          <w:b w:val="0"/>
          <w:i w:val="0"/>
        </w:rPr>
        <w:t>: Production GPU hardware targets ensure sub-second detection for RGB / thermal imagery, with queuing for high-resolution drone-campaign or specialty-imagery datasets.</w:t>
      </w:r>
    </w:p>
    <w:p>
      <w:pPr>
        <w:spacing w:before="160" w:after="80"/>
        <w:jc w:val="center"/>
      </w:pPr>
      <w:r>
        <w:drawing>
          <wp:inline>
            <wp:extent cx="5760720" cy="4005755"/>
            <wp:docPr id="4" name="Picture 4"/>
            <wp:cNvGraphicFramePr>
              <a:graphicFrameLocks noChangeAspect="1"/>
            </wp:cNvGraphicFramePr>
            <a:graphic>
              <a:graphicData uri="http://schemas.openxmlformats.org/drawingml/2006/picture">
                <pic:pic>
                  <pic:nvPicPr>
                    <pic:cNvPr id="0" name="mermaid_fig3.png"/>
                    <pic:cNvPicPr/>
                  </pic:nvPicPr>
                  <pic:blipFill>
                    <a:blip r:embed="rId14"/>
                    <a:stretch>
                      <a:fillRect/>
                    </a:stretch>
                  </pic:blipFill>
                  <pic:spPr>
                    <a:xfrm>
                      <a:off x="0" y="0"/>
                      <a:ext cx="5760720" cy="4005755"/>
                    </a:xfrm>
                    <a:prstGeom prst="rect"/>
                  </pic:spPr>
                </pic:pic>
              </a:graphicData>
            </a:graphic>
          </wp:inline>
        </w:drawing>
      </w:r>
    </w:p>
    <w:p>
      <w:pPr>
        <w:spacing w:before="40" w:after="160"/>
        <w:jc w:val="left"/>
      </w:pPr>
      <w:r>
        <w:rPr>
          <w:i/>
          <w:color w:val="666666"/>
          <w:sz w:val="19"/>
        </w:rPr>
        <w:t>Figure 3.  AI Analytical Pipeline.  Kav AI's engine coordinates specialized machine vision models, calling each as needed for modular defect detection and rapid model iteration. From v3.2 onwards the same orchestration pattern supports campaign data, patrol data, and engineering context as a unified reasoning layer; v3.3 surfaces the cross-source correlation engine as the explicit confidence-reweighting step that downstream stages depend on.</w:t>
      </w:r>
    </w:p>
    <w:p>
      <w:pPr>
        <w:pStyle w:val="Heading1"/>
      </w:pPr>
      <w:r>
        <w:rPr>
          <w:b w:val="0"/>
          <w:i w:val="0"/>
        </w:rPr>
        <w:t>Expanded Capture &amp; Engineering Context</w:t>
      </w:r>
    </w:p>
    <w:p>
      <w:pPr>
        <w:spacing w:before="0" w:after="120"/>
      </w:pPr>
      <w:r>
        <w:rPr>
          <w:b w:val="0"/>
          <w:i w:val="0"/>
        </w:rPr>
        <w:t xml:space="preserve">v3.2 kept the v2.9 product framing intact and extended the platform in the two areas that most materially strengthen the integrity loop: </w:t>
      </w:r>
      <w:r>
        <w:rPr>
          <w:b/>
          <w:i w:val="0"/>
        </w:rPr>
        <w:t>autonomous robot coverage</w:t>
      </w:r>
      <w:r>
        <w:rPr>
          <w:b w:val="0"/>
          <w:i w:val="0"/>
        </w:rPr>
        <w:t xml:space="preserve"> and </w:t>
      </w:r>
      <w:r>
        <w:rPr>
          <w:b/>
          <w:i w:val="0"/>
        </w:rPr>
        <w:t>CAD / engineering context</w:t>
      </w:r>
      <w:r>
        <w:rPr>
          <w:b w:val="0"/>
          <w:i w:val="0"/>
        </w:rPr>
        <w:t xml:space="preserve">. v3.3 keeps that scope and adds two structural clarifications that have become important in external conversations: the </w:t>
      </w:r>
      <w:r>
        <w:rPr>
          <w:b/>
          <w:i w:val="0"/>
        </w:rPr>
        <w:t>architectural shift from onboard SLAM to fixed plant infrastructure</w:t>
      </w:r>
      <w:r>
        <w:rPr>
          <w:b w:val="0"/>
          <w:i w:val="0"/>
        </w:rPr>
        <w:t xml:space="preserve">, and the </w:t>
      </w:r>
      <w:r>
        <w:rPr>
          <w:b/>
          <w:i w:val="0"/>
        </w:rPr>
        <w:t>cross-source correlation engine</w:t>
      </w:r>
      <w:r>
        <w:rPr>
          <w:b w:val="0"/>
          <w:i w:val="0"/>
        </w:rPr>
        <w:t xml:space="preserve"> as the explicit step that turns single-source detections into multi-source confirmed findings.</w:t>
      </w:r>
    </w:p>
    <w:p>
      <w:pPr>
        <w:spacing w:before="0" w:after="120"/>
      </w:pPr>
      <w:r>
        <w:rPr>
          <w:b w:val="0"/>
          <w:i w:val="0"/>
        </w:rPr>
        <w:t>These additions do not change what Kav AI is. They increase how often the platform sees the plant, how precisely it localizes findings, and how reliably it ties those findings back to asset identity and engineering intent.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1600"/>
        <w:gridCol w:w="7760"/>
      </w:tblGrid>
      <w:tr>
        <w:tc>
          <w:tcPr>
            <w:tcW w:w="1600" w:type="dxa"/>
            <w:tcBorders>
              <w:top w:val="single" w:sz="1" w:space="0" w:color="0D7680"/>
              <w:left w:val="single" w:sz="1" w:space="0" w:color="0D7680"/>
              <w:bottom w:val="single" w:sz="1" w:space="0" w:color="0D7680"/>
              <w:right w:val="single" w:sz="1" w:space="0" w:color="0D7680"/>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Design principle</w:t>
            </w:r>
          </w:p>
        </w:tc>
        <w:tc>
          <w:tcPr>
            <w:tcW w:w="7760" w:type="dxa"/>
            <w:tcBorders>
              <w:top w:val="single" w:sz="1" w:space="0" w:color="0D7680"/>
              <w:left w:val="single" w:sz="1" w:space="0" w:color="0D7680"/>
              <w:bottom w:val="single" w:sz="1" w:space="0" w:color="0D7680"/>
              <w:right w:val="single" w:sz="1" w:space="0" w:color="0D7680"/>
            </w:tcBorders>
            <w:shd w:val="clear" w:color="auto" w:fill="D6E8F5"/>
            <w:tcMar>
              <w:top w:w="100" w:type="dxa"/>
              <w:bottom w:w="100" w:type="dxa"/>
              <w:left w:w="140" w:type="dxa"/>
              <w:right w:w="140" w:type="dxa"/>
            </w:tcMar>
            <w:vAlign w:val="center"/>
          </w:tcPr>
          <w:p>
            <w:pPr>
              <w:spacing w:before="0" w:after="0"/>
            </w:pPr>
            <w:r/>
            <w:r>
              <w:rPr>
                <w:rFonts w:ascii="Arial" w:hAnsi="Arial"/>
                <w:b w:val="0"/>
                <w:i w:val="0"/>
                <w:color w:val="111111"/>
                <w:sz w:val="20"/>
              </w:rPr>
              <w:t>Kav AI still follows the same boundary defined in v2.9: observe, reason, and recommend. It does not dispatch robots as a fleet manager and it does not become the system of record for engineering design. It consumes those layers to strengthen integrity intelligence.</w:t>
            </w:r>
          </w:p>
        </w:tc>
      </w:tr>
    </w:tbl>
    <w:p>
      <w:pPr>
        <w:spacing w:before="40" w:after="120"/>
      </w:pPr>
    </w:p>
    <w:p>
      <w:pPr>
        <w:pStyle w:val="Heading2"/>
      </w:pPr>
      <w:r>
        <w:rPr>
          <w:b w:val="0"/>
          <w:i w:val="0"/>
        </w:rPr>
        <w:t>Autonomous robot coverage</w:t>
      </w:r>
    </w:p>
    <w:p>
      <w:pPr>
        <w:spacing w:before="0" w:after="120"/>
      </w:pPr>
      <w:r>
        <w:rPr>
          <w:b w:val="0"/>
          <w:i w:val="0"/>
        </w:rPr>
        <w:t>Autonomous robots extend Kav AI from campaign-based inspection to persistent facility awareness. The platform preserves the v2.9 hardware-agnostic position: robot data is an input layer, not a product-category shift.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Capability</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v3.2 addition</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Why it matters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KRSI adapter extension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Supports standard 90-minute platforms and high-endurance 4–6 hour platforms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Broadens coverage from congested indoor units to large outdoor areas (tank farms, mill yards, kiln lines, conveyor corridors) and long linear routes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Fixed plant infrastructure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Navigation beacons, communication backbone, docking integration, and coverage orchestration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Improves localization repeatability and enables continuous patrol coverage without per-robot navigation lock-in</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Fleet intelligence analytics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Coverage analytics, anomaly trend detection, and data-quality trend monitoring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Turns repeated patrol history into a learning signal rather than isolated mission logs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Hazard-aware operations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Optional package for environments with elevated safety hazards (radiation, heat, dust, gas, confined space) — including dosimetry and exposure-zone handling where applicable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Expands the platform to environments where human-entry avoidance is itself a core value driver</w:t>
            </w:r>
          </w:p>
        </w:tc>
      </w:tr>
    </w:tbl>
    <w:p>
      <w:pPr>
        <w:spacing w:before="40" w:after="120"/>
      </w:pPr>
    </w:p>
    <w:p>
      <w:pPr>
        <w:pStyle w:val="Heading3"/>
      </w:pPr>
      <w:r>
        <w:rPr>
          <w:b w:val="0"/>
          <w:i w:val="0"/>
        </w:rPr>
        <w:t>Fixed infrastructure</w:t>
      </w:r>
    </w:p>
    <w:p>
      <w:pPr>
        <w:spacing w:before="0" w:after="120"/>
      </w:pPr>
      <w:r>
        <w:rPr>
          <w:b w:val="0"/>
          <w:i w:val="0"/>
        </w:rPr>
        <w:t>Fixed plant infrastructure is the enabling layer for reliable, repeatable patrol coverage: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Component</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Specification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Navigation beacons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UWB or LiDAR reflector-based reference points, targeting localization accuracy within 10cm of onboard baseline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Communication backbone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Private 5G, industrial Wi-Fi mesh, or hybrid; minimum 50 Mbps uplink per patrol zone; 5–15 ms latency for real-time remote viewing</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Docking stations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Charging plus wired data offload points at patrol-route endpoints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Coverage orchestration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Ranked inspection priorities from Kav AI to the vendor fleet software through API or operator handoff</w:t>
            </w:r>
          </w:p>
        </w:tc>
      </w:tr>
    </w:tbl>
    <w:p>
      <w:pPr>
        <w:spacing w:before="40" w:after="120"/>
      </w:pPr>
    </w:p>
    <w:p>
      <w:pPr>
        <w:spacing w:before="0" w:after="120"/>
      </w:pPr>
      <w:r>
        <w:rPr>
          <w:b w:val="0"/>
          <w:i w:val="0"/>
        </w:rPr>
        <w:t>This architecture deliberately avoids turning Kav AI into a robot OEM stack. Kav AI specifies what needs to be seen next based on staleness and risk. Vendor fleet software or the operator still decides how to execute the patrol.</w:t>
      </w:r>
    </w:p>
    <w:p>
      <w:pPr>
        <w:spacing w:before="0" w:after="120"/>
      </w:pPr>
      <w:r>
        <w:rPr>
          <w:b w:val="0"/>
          <w:i w:val="0"/>
        </w:rPr>
        <w:t xml:space="preserve">The combined effect is </w:t>
      </w:r>
      <w:r>
        <w:rPr>
          <w:b/>
          <w:i w:val="0"/>
        </w:rPr>
        <w:t>continuous coverage of ≥ 20 hours per day</w:t>
      </w:r>
      <w:r>
        <w:rPr>
          <w:b w:val="0"/>
          <w:i w:val="0"/>
        </w:rPr>
        <w:t xml:space="preserve"> across the fleet at a fully equipped site — turning the historical "battery-bound 90-minute patrol" model into a continuous sensory web without paying the cost of a bespoke OEM stack.</w:t>
      </w:r>
    </w:p>
    <w:p>
      <w:pPr>
        <w:pStyle w:val="Heading3"/>
      </w:pPr>
      <w:r>
        <w:rPr>
          <w:b w:val="0"/>
          <w:i w:val="0"/>
        </w:rPr>
        <w:t>Architectural shift: onboard SLAM vs. fixed infrastructure</w:t>
      </w:r>
    </w:p>
    <w:p>
      <w:pPr>
        <w:spacing w:before="0" w:after="120"/>
      </w:pPr>
      <w:r>
        <w:rPr>
          <w:b w:val="0"/>
          <w:i w:val="0"/>
        </w:rPr>
        <w:t>Fixed plant infrastructure is not just an availability story — it is a different navigation and data-registration architecture. The promo-deck shift is captured below for procurement teams comparing Kav AI against onboard-SLAM-only competitors: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Dimension</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Onboard SLAM (single-vendor stack)</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Fixed plant infrastructure (Kav AI)</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Navigation reliability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Degrades in featureless or highly repetitive industrial environments (e.g., long piperacks, similar bays in a mill, large open shop floors)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UWB / LiDAR reflectors provide absolute ground-truth coordinates regardless of environment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Fleet scaling cost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 — each robot carries its own expensive redundant navigation stack</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Low — beacon and 5G cost amortized across the site, additional commodity robots add marginal cost only</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registration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5 cm error with cumulative drift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2 cm beacon-anchored accuracy, no drift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Vendor lock-in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Effectively single-vendor — the locomotion vendor owns the localization primitive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Hardware-agnostic — any fleet that emits compatible telemetry can be ingested via KRSI</w:t>
            </w:r>
          </w:p>
        </w:tc>
      </w:tr>
    </w:tbl>
    <w:p>
      <w:pPr>
        <w:spacing w:before="40" w:after="120"/>
      </w:pPr>
    </w:p>
    <w:p>
      <w:pPr>
        <w:spacing w:before="0" w:after="120"/>
      </w:pPr>
      <w:r>
        <w:rPr>
          <w:b w:val="0"/>
          <w:i w:val="0"/>
        </w:rPr>
        <w:t xml:space="preserve">Fixed infrastructure is the architectural reason Kav AI can credibly claim </w:t>
      </w:r>
      <w:r>
        <w:rPr>
          <w:b w:val="0"/>
          <w:i/>
        </w:rPr>
        <w:t>fleet-agnostic, mission-specific</w:t>
      </w:r>
      <w:r>
        <w:rPr>
          <w:b w:val="0"/>
          <w:i w:val="0"/>
        </w:rPr>
        <w:t xml:space="preserve"> coverage instead of taking on the cost of a proprietary robot OEM stack.</w:t>
      </w:r>
    </w:p>
    <w:p>
      <w:pPr>
        <w:pStyle w:val="Heading3"/>
      </w:pPr>
      <w:r>
        <w:rPr>
          <w:b w:val="0"/>
          <w:i w:val="0"/>
        </w:rPr>
        <w:t>Robot sensing and mission intelligence</w:t>
      </w:r>
    </w:p>
    <w:p>
      <w:pPr>
        <w:spacing w:before="0" w:after="120"/>
      </w:pPr>
      <w:r>
        <w:rPr>
          <w:b w:val="0"/>
          <w:i w:val="0"/>
        </w:rPr>
        <w:t>Robot ingestion in v3.2 extends the proven v3.0 adapter pattern:</w:t>
      </w:r>
    </w:p>
    <w:p>
      <w:pPr>
        <w:spacing w:before="0" w:after="60"/>
        <w:ind w:left="504" w:hanging="288"/>
      </w:pPr>
      <w:r>
        <w:rPr>
          <w:b w:val="0"/>
        </w:rPr>
        <w:t xml:space="preserve">•  </w:t>
      </w:r>
      <w:r>
        <w:rPr>
          <w:b w:val="0"/>
          <w:i w:val="0"/>
        </w:rPr>
        <w:t>Extended telemetry sessions for 4–6 hour patrols, including timeout handling, buffering, and reconnection.</w:t>
      </w:r>
    </w:p>
    <w:p>
      <w:pPr>
        <w:spacing w:before="0" w:after="60"/>
        <w:ind w:left="504" w:hanging="288"/>
      </w:pPr>
      <w:r>
        <w:rPr>
          <w:b w:val="0"/>
        </w:rPr>
        <w:t xml:space="preserve">•  </w:t>
      </w:r>
      <w:r>
        <w:rPr>
          <w:b w:val="0"/>
          <w:i w:val="0"/>
        </w:rPr>
        <w:t>Payload registration for thermal and visual sensing as baseline, with acoustic, gas, and other industry-specific payloads validated per platform.</w:t>
      </w:r>
    </w:p>
    <w:p>
      <w:pPr>
        <w:spacing w:before="0" w:after="60"/>
        <w:ind w:left="504" w:hanging="288"/>
      </w:pPr>
      <w:r>
        <w:rPr>
          <w:b w:val="0"/>
        </w:rPr>
        <w:t xml:space="preserve">•  </w:t>
      </w:r>
      <w:r>
        <w:rPr>
          <w:b w:val="0"/>
          <w:i w:val="0"/>
        </w:rPr>
        <w:t>Mission-history analytics that detect progressive degradation, patrol gaps, calibration drift, and persistent connectivity failures.</w:t>
      </w:r>
    </w:p>
    <w:p>
      <w:pPr>
        <w:spacing w:before="0" w:after="120"/>
      </w:pPr>
      <w:r>
        <w:rPr>
          <w:b w:val="0"/>
          <w:i w:val="0"/>
        </w:rPr>
        <w:t>The consequence is strategic, not merely technical: the data flywheel now compounds not only across periodic drone campaigns, but also across recurring ground patrols that revisit the same assets with tighter spatial repeatability.</w:t>
      </w:r>
    </w:p>
    <w:p>
      <w:pPr>
        <w:pStyle w:val="Heading2"/>
      </w:pPr>
      <w:r>
        <w:rPr>
          <w:b w:val="0"/>
          <w:i w:val="0"/>
        </w:rPr>
        <w:t>CAD and engineering data</w:t>
      </w:r>
    </w:p>
    <w:p>
      <w:pPr>
        <w:spacing w:before="0" w:after="120"/>
      </w:pPr>
      <w:r>
        <w:rPr>
          <w:b w:val="0"/>
          <w:i w:val="0"/>
        </w:rPr>
        <w:t>v3.2 also carries forward the v3.1 expansion of the engineering context layer. v2.9 introduced CAD overlay as a roadmap item; v3.2 makes it a central extension to the integrity workflow rather than a standalone visual feature. The engineering-context layer is built on open, vendor-neutral standards — IFC4 (BIM STEP) for physical 3D geometry and DEXPI (XML) for logical P&amp;IDs — rather than proprietary exports.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Capability</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v3.2 addition</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Why it matters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Additional CAD formats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IFC4 (BIM STEP), RVT, and direct DGN alongside the proven Navisworks pathway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Reduces dependence on a single engineering-tool chain and improves fit across customer environments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CAD version tracking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Import history, file hashing, and diff visualization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Makes engineering changes visible to integrity teams instead of remaining buried in document control</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As-built vs. as-designed comparison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CAD overlay aligned to the photorealistic 3D model and LiDAR-derived geometry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Highlights geometric deviation that may create new integrity risk or invalidate inspection assumptions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P&amp;ID linkage (DEXPI)</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Logical P&amp;IDs ingested via the open DEXPI standard; deterministic dual-tagging ties legacy CAD tags to operator/DEXPI tags and the asset record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Improves traceability for operator queries and work-order preparation; a clicked 3D element resolves to its P&amp;ID and integrity findings</w:t>
            </w:r>
          </w:p>
        </w:tc>
      </w:tr>
    </w:tbl>
    <w:p>
      <w:pPr>
        <w:spacing w:before="40" w:after="120"/>
      </w:pPr>
    </w:p>
    <w:p>
      <w:pPr>
        <w:pStyle w:val="Heading3"/>
      </w:pPr>
      <w:r>
        <w:rPr>
          <w:b w:val="0"/>
          <w:i w:val="0"/>
        </w:rPr>
        <w:t>Per-format scope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Format</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Priority</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v3.2 scope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IFC4</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High</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Open-standard (BIM STEP) extraction of geometry plus engineering metadata into the KAP schema — demonstrated at 100% coverage on one example process unit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RVT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Revit extraction where metadata is sufficient or can be supplemented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DGN (direct)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Direct extraction for Bentley / PDS-heavy sites to avoid the Navisworks intermediary</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STEP / IGES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Low</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Candidate for later vendor-model ingestion where full-plant context is limited</w:t>
            </w:r>
          </w:p>
        </w:tc>
      </w:tr>
    </w:tbl>
    <w:p>
      <w:pPr>
        <w:spacing w:before="40" w:after="120"/>
      </w:pPr>
    </w:p>
    <w:p>
      <w:pPr>
        <w:pStyle w:val="Heading3"/>
      </w:pPr>
      <w:r>
        <w:rPr>
          <w:b w:val="0"/>
          <w:i w:val="0"/>
        </w:rPr>
        <w:t>Logical P&amp;IDs via DEXPI and tag interoperability</w:t>
      </w:r>
    </w:p>
    <w:p>
      <w:pPr>
        <w:spacing w:before="0" w:after="120"/>
      </w:pPr>
      <w:r>
        <w:rPr>
          <w:b w:val="0"/>
          <w:i w:val="0"/>
        </w:rPr>
        <w:t>Physical geometry (IFC4) is paired with logical process structure through DEXPI (XML), the open P&amp;ID exchange standard, which carries equipment, nozzles, piping runs, and connectivity. A deterministic dual-tagging layer reconciles legacy CAD tag conventions with standard operator / DEXPI tags and resolves both to the same asset record — so a 3D element, its P&amp;ID, and its integrity findings line up automatically. The mapping is rule-based and auditable rather than inferred.</w:t>
      </w:r>
    </w:p>
    <w:p>
      <w:pPr>
        <w:spacing w:before="0" w:after="120"/>
      </w:pPr>
      <w:r>
        <w:rPr>
          <w:b w:val="0"/>
          <w:i w:val="0"/>
        </w:rPr>
        <w:t>On one example process unit — a 109-asset reference dataset — the IFC4 and DEXPI schemas were both ingested at 100% coverage, confirming traceability from the 3D model through the P&amp;ID to the asset record for that deployment. The figure is a single illustrative example, not a generalized benchmark.</w:t>
      </w:r>
    </w:p>
    <w:p>
      <w:pPr>
        <w:pStyle w:val="Heading3"/>
      </w:pPr>
      <w:r>
        <w:rPr>
          <w:b w:val="0"/>
          <w:i w:val="0"/>
        </w:rPr>
        <w:t>World model and change management</w:t>
      </w:r>
    </w:p>
    <w:p>
      <w:pPr>
        <w:spacing w:before="0" w:after="120"/>
      </w:pPr>
      <w:r>
        <w:rPr>
          <w:b w:val="0"/>
          <w:i w:val="0"/>
        </w:rPr>
        <w:t>CAD only becomes operationally useful when tied to the live spatial record. v3.2 therefore combines:</w:t>
      </w:r>
    </w:p>
    <w:p>
      <w:pPr>
        <w:spacing w:before="0" w:after="60"/>
        <w:ind w:left="504" w:hanging="288"/>
      </w:pPr>
      <w:r>
        <w:rPr>
          <w:b w:val="0"/>
        </w:rPr>
        <w:t xml:space="preserve">1.  </w:t>
      </w:r>
      <w:r>
        <w:rPr>
          <w:b/>
          <w:i w:val="0"/>
        </w:rPr>
        <w:t>CAD-derived design intent</w:t>
      </w:r>
      <w:r>
        <w:rPr>
          <w:b w:val="0"/>
          <w:i w:val="0"/>
        </w:rPr>
        <w:t xml:space="preserve"> from the engineering model.</w:t>
      </w:r>
    </w:p>
    <w:p>
      <w:pPr>
        <w:spacing w:before="0" w:after="60"/>
        <w:ind w:left="504" w:hanging="288"/>
      </w:pPr>
      <w:r>
        <w:rPr>
          <w:b w:val="0"/>
        </w:rPr>
        <w:t xml:space="preserve">2.  </w:t>
      </w:r>
      <w:r>
        <w:rPr>
          <w:b/>
          <w:i w:val="0"/>
        </w:rPr>
        <w:t>As-built geometry</w:t>
      </w:r>
      <w:r>
        <w:rPr>
          <w:b w:val="0"/>
          <w:i w:val="0"/>
        </w:rPr>
        <w:t xml:space="preserve"> from 3DGS and LiDAR-derived scans.</w:t>
      </w:r>
    </w:p>
    <w:p>
      <w:pPr>
        <w:spacing w:before="0" w:after="60"/>
        <w:ind w:left="504" w:hanging="288"/>
      </w:pPr>
      <w:r>
        <w:rPr>
          <w:b w:val="0"/>
        </w:rPr>
        <w:t xml:space="preserve">3.  </w:t>
      </w:r>
      <w:r>
        <w:rPr>
          <w:b/>
          <w:i w:val="0"/>
        </w:rPr>
        <w:t>Inspection findings</w:t>
      </w:r>
      <w:r>
        <w:rPr>
          <w:b w:val="0"/>
          <w:i w:val="0"/>
        </w:rPr>
        <w:t xml:space="preserve"> from drone, robot, and fixed/SCADA sources.</w:t>
      </w:r>
    </w:p>
    <w:p>
      <w:pPr>
        <w:spacing w:before="0" w:after="120"/>
      </w:pPr>
      <w:r>
        <w:rPr>
          <w:b w:val="0"/>
          <w:i w:val="0"/>
        </w:rPr>
        <w:t>This allows the platform to surface engineering changes, geometric deviations, and repeated anomaly patterns as part of the same integrity conversation rather than as separate systems.</w:t>
      </w:r>
    </w:p>
    <w:p>
      <w:pPr>
        <w:pStyle w:val="Heading2"/>
      </w:pPr>
      <w:r>
        <w:rPr>
          <w:b w:val="0"/>
          <w:i w:val="0"/>
        </w:rPr>
        <w:t>Cross-source confirmation engine</w:t>
      </w:r>
    </w:p>
    <w:p>
      <w:pPr>
        <w:spacing w:before="0" w:after="120"/>
      </w:pPr>
      <w:r>
        <w:rPr>
          <w:b w:val="0"/>
          <w:i w:val="0"/>
        </w:rPr>
        <w:t>The robot and CAD additions are most valuable when they strengthen the core analytical chain rather than sitting beside it. v3.2 incorporated the v3.1 cross-source correlation model into the v2.9 integrity narrative; v3.3 promotes that primitive to a named engine: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Sources agreeing</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Correlation category</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Operational treatment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1 source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Single-source detection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Standard severity-based triage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2 sources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Corroborated finding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Elevated priority with explicit evidence linking</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 sources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Multi-source confirmed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Highest-confidence class for immediate engineer attention; bypasses the manual verification queue but never bypasses the deterministic Filter Skill rejection (see AI Safety)</w:t>
            </w:r>
          </w:p>
        </w:tc>
      </w:tr>
    </w:tbl>
    <w:p>
      <w:pPr>
        <w:spacing w:before="40" w:after="120"/>
      </w:pPr>
    </w:p>
    <w:p>
      <w:pPr>
        <w:pStyle w:val="Heading3"/>
      </w:pPr>
      <w:r>
        <w:rPr>
          <w:b w:val="0"/>
          <w:i w:val="0"/>
        </w:rPr>
        <w:t>How the engine works</w:t>
      </w:r>
    </w:p>
    <w:p>
      <w:pPr>
        <w:spacing w:before="0" w:after="120"/>
      </w:pPr>
      <w:r>
        <w:rPr>
          <w:b w:val="0"/>
          <w:i w:val="0"/>
        </w:rPr>
        <w:t>The cross-source correlation engine operates as a deterministic pre-stage to the AI confidence model:</w:t>
      </w:r>
    </w:p>
    <w:p>
      <w:pPr>
        <w:spacing w:before="0" w:after="60"/>
        <w:ind w:left="504" w:hanging="288"/>
      </w:pPr>
      <w:r>
        <w:rPr>
          <w:b w:val="0"/>
        </w:rPr>
        <w:t xml:space="preserve">1.  </w:t>
      </w:r>
      <w:r>
        <w:rPr>
          <w:b/>
          <w:i w:val="0"/>
        </w:rPr>
        <w:t>Tag</w:t>
      </w:r>
      <w:r>
        <w:rPr>
          <w:b w:val="0"/>
          <w:i w:val="0"/>
        </w:rPr>
        <w:t xml:space="preserve"> — every detection from a drone campaign, robot patrol, fixed sensor, or operating-limit exceedance from the historian / control system is timestamped, geo-located inside the 3D model, and tagged with its modality (RGB, thermal, acoustic, gas, vibration, process telemetry, etc.).</w:t>
      </w:r>
    </w:p>
    <w:p>
      <w:pPr>
        <w:spacing w:before="0" w:after="60"/>
        <w:ind w:left="504" w:hanging="288"/>
      </w:pPr>
      <w:r>
        <w:rPr>
          <w:b w:val="0"/>
        </w:rPr>
        <w:t xml:space="preserve">2.  </w:t>
      </w:r>
      <w:r>
        <w:rPr>
          <w:b/>
          <w:i w:val="0"/>
        </w:rPr>
        <w:t>Match</w:t>
      </w:r>
      <w:r>
        <w:rPr>
          <w:b w:val="0"/>
          <w:i w:val="0"/>
        </w:rPr>
        <w:t xml:space="preserve"> — independent detections within a </w:t>
      </w:r>
      <w:r>
        <w:rPr>
          <w:b/>
          <w:i w:val="0"/>
        </w:rPr>
        <w:t>2 m spatial radius</w:t>
      </w:r>
      <w:r>
        <w:rPr>
          <w:b w:val="0"/>
          <w:i w:val="0"/>
        </w:rPr>
        <w:t xml:space="preserve"> and an aligned temporal window are grouped as candidate corroborations.</w:t>
      </w:r>
    </w:p>
    <w:p>
      <w:pPr>
        <w:spacing w:before="0" w:after="60"/>
        <w:ind w:left="504" w:hanging="288"/>
      </w:pPr>
      <w:r>
        <w:rPr>
          <w:b w:val="0"/>
        </w:rPr>
        <w:t xml:space="preserve">3.  </w:t>
      </w:r>
      <w:r>
        <w:rPr>
          <w:b/>
          <w:i w:val="0"/>
        </w:rPr>
        <w:t>Score</w:t>
      </w:r>
      <w:r>
        <w:rPr>
          <w:b w:val="0"/>
          <w:i w:val="0"/>
        </w:rPr>
        <w:t xml:space="preserve"> — confidence is rescored from the per-source baseline. A representative example: a thermal anomaly at 0.70 confidence corroborated by an acoustic / thermal ground patrol and an operating-limit exceedance on a related process tag is rescored to ~ 0.95.</w:t>
      </w:r>
    </w:p>
    <w:p>
      <w:pPr>
        <w:spacing w:before="0" w:after="60"/>
        <w:ind w:left="504" w:hanging="288"/>
      </w:pPr>
      <w:r>
        <w:rPr>
          <w:b w:val="0"/>
        </w:rPr>
        <w:t xml:space="preserve">4.  </w:t>
      </w:r>
      <w:r>
        <w:rPr>
          <w:b/>
          <w:i w:val="0"/>
        </w:rPr>
        <w:t>Surface</w:t>
      </w:r>
      <w:r>
        <w:rPr>
          <w:b w:val="0"/>
          <w:i w:val="0"/>
        </w:rPr>
        <w:t xml:space="preserve"> — the rescored finding is presented to the operator with all source records attached. The Filter Skill and Stage 3.5 consistency gate (see Integrity Analytical Chain) still apply; cross-source uplift cannot override a hard rejection.</w:t>
      </w:r>
    </w:p>
    <w:p>
      <w:pPr>
        <w:pStyle w:val="Heading3"/>
      </w:pPr>
      <w:r>
        <w:rPr>
          <w:b w:val="0"/>
          <w:i w:val="0"/>
        </w:rPr>
        <w:t>Why this is the moat</w:t>
      </w:r>
    </w:p>
    <w:p>
      <w:pPr>
        <w:spacing w:before="0" w:after="120"/>
      </w:pPr>
      <w:r>
        <w:rPr>
          <w:b w:val="0"/>
          <w:i w:val="0"/>
        </w:rPr>
        <w:t xml:space="preserve">A single-source detection is structurally exposed to environmental noise. A multi-source confirmed detection is the result of independent physical signals agreeing on a precise spatial-temporal coordinate — a much harder thing to fake. v3.3's external claim follows directly: </w:t>
      </w:r>
      <w:r>
        <w:rPr>
          <w:b/>
          <w:i w:val="0"/>
        </w:rPr>
        <w:t>multi-source confirmed findings target TPR &gt; 98% / FPR &lt; 2%</w:t>
      </w:r>
      <w:r>
        <w:rPr>
          <w:b w:val="0"/>
          <w:i w:val="0"/>
        </w:rPr>
        <w:t>, while single-source modality-specific targets remain as documented in Operations.</w:t>
      </w:r>
    </w:p>
    <w:p>
      <w:pPr>
        <w:spacing w:before="0" w:after="120"/>
      </w:pPr>
      <w:r>
        <w:rPr>
          <w:b w:val="0"/>
          <w:i w:val="0"/>
        </w:rPr>
        <w:t>Cross-source confirmation does not replace engineering validation. It improves prioritization, confidence calibration, and inspection planning by showing when multiple independent signals are converging on the same asset condition.</w:t>
      </w:r>
    </w:p>
    <w:p>
      <w:pPr>
        <w:pStyle w:val="Heading1"/>
      </w:pPr>
      <w:r>
        <w:rPr>
          <w:b w:val="0"/>
          <w:i w:val="0"/>
        </w:rPr>
        <w:t>Scale &amp; Impact — From "We Found Something" to "Inspect These Eight Locations Next"</w:t>
      </w:r>
    </w:p>
    <w:p>
      <w:pPr>
        <w:spacing w:before="0" w:after="120"/>
      </w:pPr>
      <w:r>
        <w:rPr>
          <w:b w:val="0"/>
          <w:i w:val="0"/>
        </w:rPr>
        <w:t>A common failure mode for industrial AI platforms is that they are demonstrated, not deployed: a single anomaly on a single asset, dressed up as a product. v3.3 promotes the MVP v0.2 evidence to a dedicated chapter so the procurement team can see, on one page, that Kav AI operates at facility scale, repeatably, and with a direct line to financial impact.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Why this section exists v3.2 references "facility scale" in passing. v3.3 puts the numbers, the workflow, and the dollar framing on the table where customers, partners, and reference callers can find them without digging into the appendices.</w:t>
            </w:r>
          </w:p>
        </w:tc>
      </w:tr>
    </w:tbl>
    <w:p>
      <w:pPr>
        <w:spacing w:before="40" w:after="120"/>
      </w:pPr>
    </w:p>
    <w:p>
      <w:pPr>
        <w:pStyle w:val="Heading2"/>
      </w:pPr>
      <w:r>
        <w:rPr>
          <w:b w:val="0"/>
          <w:i w:val="0"/>
        </w:rPr>
        <w:t>What MVP v0.2 proves</w:t>
      </w:r>
    </w:p>
    <w:p>
      <w:pPr>
        <w:spacing w:before="0" w:after="120"/>
      </w:pPr>
      <w:r>
        <w:rPr>
          <w:b w:val="0"/>
          <w:i w:val="0"/>
        </w:rPr>
        <w:t xml:space="preserve">MVP v0.2 is the second step in Kav AI's public-facing demonstration sequence (see Journey — </w:t>
      </w:r>
      <w:r>
        <w:rPr>
          <w:b w:val="0"/>
          <w:i/>
        </w:rPr>
        <w:t>MVP demonstration sequence</w:t>
      </w:r>
      <w:r>
        <w:rPr>
          <w:b w:val="0"/>
          <w:i w:val="0"/>
        </w:rPr>
        <w:t>). It answers the three questions an operator will ask at the first procurement meeting:</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Operator question</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MVP v0.2 answer</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Can this system scale beyond a demo?</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The platform processes </w:t>
            </w:r>
            <w:r>
              <w:rPr>
                <w:rFonts w:ascii="Arial" w:hAnsi="Arial"/>
                <w:b/>
                <w:i w:val="0"/>
                <w:color w:val="111111"/>
                <w:sz w:val="20"/>
              </w:rPr>
              <w:t>thousands of assets and dozens of anomalies in a single run</w:t>
            </w:r>
            <w:r>
              <w:rPr>
                <w:rFonts w:ascii="Arial" w:hAnsi="Arial"/>
                <w:b w:val="0"/>
                <w:i w:val="0"/>
                <w:color w:val="111111"/>
                <w:sz w:val="20"/>
              </w:rPr>
              <w:t>, not isolated findings.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Does it help me decide what to do?</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Every high-priority anomaly includes </w:t>
            </w:r>
            <w:r>
              <w:rPr>
                <w:rFonts w:ascii="Arial" w:hAnsi="Arial"/>
                <w:b/>
                <w:i w:val="0"/>
                <w:color w:val="111111"/>
                <w:sz w:val="20"/>
              </w:rPr>
              <w:t>recommended inspection actions</w:t>
            </w:r>
            <w:r>
              <w:rPr>
                <w:rFonts w:ascii="Arial" w:hAnsi="Arial"/>
                <w:b w:val="0"/>
                <w:i w:val="0"/>
                <w:color w:val="111111"/>
                <w:sz w:val="20"/>
              </w:rPr>
              <w:t xml:space="preserve"> tied to operational workflows.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Is the output meaningful to my business?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Findings are connected to </w:t>
            </w:r>
            <w:r>
              <w:rPr>
                <w:rFonts w:ascii="Arial" w:hAnsi="Arial"/>
                <w:b/>
                <w:i w:val="0"/>
                <w:color w:val="111111"/>
                <w:sz w:val="20"/>
              </w:rPr>
              <w:t>risk and economic impact</w:t>
            </w:r>
            <w:r>
              <w:rPr>
                <w:rFonts w:ascii="Arial" w:hAnsi="Arial"/>
                <w:b w:val="0"/>
                <w:i w:val="0"/>
                <w:color w:val="111111"/>
                <w:sz w:val="20"/>
              </w:rPr>
              <w:t>, not just temperature differences.</w:t>
            </w:r>
          </w:p>
        </w:tc>
      </w:tr>
    </w:tbl>
    <w:p>
      <w:pPr>
        <w:spacing w:before="40" w:after="120"/>
      </w:pPr>
    </w:p>
    <w:p>
      <w:pPr>
        <w:pStyle w:val="Heading2"/>
      </w:pPr>
      <w:r>
        <w:rPr>
          <w:b w:val="0"/>
          <w:i w:val="0"/>
        </w:rPr>
        <w:t>Facility-scale evidence</w:t>
      </w:r>
    </w:p>
    <w:p>
      <w:pPr>
        <w:spacing w:before="0" w:after="120"/>
      </w:pPr>
      <w:r>
        <w:rPr>
          <w:b w:val="0"/>
          <w:i w:val="0"/>
        </w:rPr>
        <w:t>The MVP v0.2 facility scan demonstrates Kav AI operating at a unit-level scale that is procurement-relevant rather than demo-relevant: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Metric</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MVP v0.2 result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Assets scanned</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1,200</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Thermal anomalies detected</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37</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High-priority anomalies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8</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Coverage achieved</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65% of a production unit in a single deployment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Output format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Ranked inspection set with recommended actions, not a flat anomaly list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Recommended timing</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Targeted at the next scheduled outage / shutdown, not opportunistic</w:t>
            </w:r>
          </w:p>
        </w:tc>
      </w:tr>
    </w:tbl>
    <w:p>
      <w:pPr>
        <w:spacing w:before="40" w:after="120"/>
      </w:pPr>
    </w:p>
    <w:p>
      <w:pPr>
        <w:spacing w:before="0" w:after="120"/>
      </w:pPr>
      <w:r>
        <w:rPr>
          <w:b w:val="0"/>
          <w:i w:val="0"/>
        </w:rPr>
        <w:t xml:space="preserve">Coverage is repeatable and extendable across the facility. This reframes the platform from an "interesting detection tool" to a </w:t>
      </w:r>
      <w:r>
        <w:rPr>
          <w:b/>
          <w:i w:val="0"/>
        </w:rPr>
        <w:t>practical inspection coverage solution</w:t>
      </w:r>
      <w:r>
        <w:rPr>
          <w:b w:val="0"/>
          <w:i w:val="0"/>
        </w:rPr>
        <w:t>.</w:t>
      </w:r>
    </w:p>
    <w:p>
      <w:pPr>
        <w:pStyle w:val="Heading2"/>
      </w:pPr>
      <w:r>
        <w:rPr>
          <w:b w:val="0"/>
          <w:i w:val="0"/>
        </w:rPr>
        <w:t>Decision context — detection → diagnosis → action</w:t>
      </w:r>
    </w:p>
    <w:p>
      <w:pPr>
        <w:spacing w:before="0" w:after="120"/>
      </w:pPr>
      <w:r>
        <w:rPr>
          <w:b w:val="0"/>
          <w:i w:val="0"/>
        </w:rPr>
        <w:t>The platform does not stop at flagging an anomaly. The MVP v0.2 representative finding shows the full chain a buyer expects to see (the example below is generic and would be replaced by an industry-appropriate case during onboarding — for a steel facility, equivalent examples include refractory hot-spots on a furnace shell, abnormal thermal gradients across a ladle or tundish, hot-spots on transfer ducts, or thermal signatures on cooling-water headers):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Stage</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Representative output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Asset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Insulated / refractory-lined process equipment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Observed condition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Localized surface temperature elevated well above the surrounding shell baseline; </w:t>
            </w:r>
            <w:r>
              <w:rPr>
                <w:rFonts w:ascii="Arial" w:hAnsi="Arial"/>
                <w:b/>
                <w:i w:val="0"/>
                <w:color w:val="111111"/>
                <w:sz w:val="20"/>
              </w:rPr>
              <w:t>ΔT ~ 85 °F (≈ 47 °C)</w:t>
            </w:r>
            <w:r>
              <w:rPr>
                <w:rFonts w:ascii="Arial" w:hAnsi="Arial"/>
                <w:b w:val="0"/>
                <w:i w:val="0"/>
                <w:color w:val="111111"/>
                <w:sz w:val="20"/>
              </w:rPr>
              <w:t xml:space="preserve"> vs. ambient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Secondary signal</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Adjacent structural steel ΔT ~ 49 °F (≈ 27 °C)</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Interpretation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Thermal signature consistent with insulation / refractory breakdown; elevated likelihood of localized wall-loss or hot-face degradation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Recommended action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Prioritize location for close-up inspection (e.g., ultrasonic thickness, refractory-thickness sounding, or visual inspection as appropriate) at next scheduled outage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Cross-source posture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Single-source thermal detection at the MVP stage; cross-source correlation against robot acoustic / vibration data and operating-data trends is the v3.3 evolution path for the same finding</w:t>
            </w:r>
          </w:p>
        </w:tc>
      </w:tr>
    </w:tbl>
    <w:p>
      <w:pPr>
        <w:spacing w:before="40" w:after="120"/>
      </w:pPr>
    </w:p>
    <w:p>
      <w:pPr>
        <w:spacing w:before="0" w:after="120"/>
      </w:pPr>
      <w:r>
        <w:rPr>
          <w:b w:val="0"/>
          <w:i w:val="0"/>
        </w:rPr>
        <w:t xml:space="preserve">The selection basis for high-priority items combines </w:t>
      </w:r>
      <w:r>
        <w:rPr>
          <w:b/>
          <w:i w:val="0"/>
        </w:rPr>
        <w:t>thermal severity, pattern consistency across the dataset, and cross-asset comparison</w:t>
      </w:r>
      <w:r>
        <w:rPr>
          <w:b w:val="0"/>
          <w:i w:val="0"/>
        </w:rPr>
        <w:t xml:space="preserve"> — not raw anomaly count.</w:t>
      </w:r>
    </w:p>
    <w:p>
      <w:pPr>
        <w:pStyle w:val="Heading2"/>
      </w:pPr>
      <w:r>
        <w:rPr>
          <w:b w:val="0"/>
          <w:i w:val="0"/>
        </w:rPr>
        <w:t>Economic framing</w:t>
      </w:r>
    </w:p>
    <w:p>
      <w:pPr>
        <w:spacing w:before="0" w:after="120"/>
      </w:pPr>
      <w:r>
        <w:rPr>
          <w:b w:val="0"/>
          <w:i w:val="0"/>
        </w:rPr>
        <w:t>Thermal anomalies are translated into business-relevant risk so that the procurement conversation can move from "interesting" to "fundable":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Variable</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Range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Typical failure consequence (if unaddressed)</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 six- to low seven-figure USD per event at large industrial sites (forced outage, repair, lost production) — exact value is site- and unit-specific</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MVP v0.2 scenario estimate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$750K – $1.5M avoided cost potential</w:t>
            </w:r>
            <w:r>
              <w:rPr>
                <w:rFonts w:ascii="Arial" w:hAnsi="Arial"/>
                <w:b w:val="0"/>
                <w:i w:val="0"/>
                <w:color w:val="111111"/>
                <w:sz w:val="20"/>
              </w:rPr>
              <w:t xml:space="preserve"> for the eight high-priority items in the reference scenario</w:t>
            </w:r>
          </w:p>
        </w:tc>
      </w:tr>
    </w:tbl>
    <w:p>
      <w:pPr>
        <w:spacing w:before="40" w:after="120"/>
      </w:pPr>
    </w:p>
    <w:p>
      <w:pPr>
        <w:spacing w:before="0" w:after="120"/>
      </w:pPr>
      <w:r>
        <w:rPr>
          <w:b w:val="0"/>
          <w:i w:val="0"/>
        </w:rPr>
        <w:t>This ties the platform output directly to the same economic levers that industry RAM benchmarking studies use to compare top- and bottom-quartile facilities (see Executive Summary). The exact benchmarking source used in commercial conversation depends on the customer's industry (e.g., Solomon Associates for hydrocarbons; equivalent benchmarking organizations exist for power, metals, pulp &amp; paper, and chemicals).</w:t>
      </w:r>
    </w:p>
    <w:p>
      <w:pPr>
        <w:pStyle w:val="Heading2"/>
      </w:pPr>
      <w:r>
        <w:rPr>
          <w:b w:val="0"/>
          <w:i w:val="0"/>
        </w:rPr>
        <w:t>Role of AI at this scale</w:t>
      </w:r>
    </w:p>
    <w:p>
      <w:pPr>
        <w:spacing w:before="0" w:after="120"/>
      </w:pPr>
      <w:r>
        <w:rPr>
          <w:b w:val="0"/>
          <w:i w:val="0"/>
        </w:rPr>
        <w:t>A critical positioning shift between MVP v0.1 and MVP v0.2 is making the role of AI explicit:</w:t>
      </w:r>
    </w:p>
    <w:p>
      <w:pPr>
        <w:spacing w:before="0" w:after="120"/>
      </w:pPr>
      <w:r>
        <w:rPr>
          <w:b w:val="0"/>
          <w:i w:val="0"/>
        </w:rPr>
        <w:t xml:space="preserve">&gt; The drone and thermal camera collect data — &gt; </w:t>
      </w:r>
      <w:r>
        <w:rPr>
          <w:b/>
          <w:i w:val="0"/>
        </w:rPr>
        <w:t>Kav AI is what makes that data usable at scale.</w:t>
      </w:r>
    </w:p>
    <w:p>
      <w:pPr>
        <w:spacing w:before="0" w:after="120"/>
      </w:pPr>
      <w:r>
        <w:rPr>
          <w:b w:val="0"/>
          <w:i w:val="0"/>
        </w:rPr>
        <w:t>At facility scale the AI layer is responsible for:</w:t>
      </w:r>
    </w:p>
    <w:p>
      <w:pPr>
        <w:spacing w:before="0" w:after="60"/>
        <w:ind w:left="504" w:hanging="288"/>
      </w:pPr>
      <w:r>
        <w:rPr>
          <w:b w:val="0"/>
        </w:rPr>
        <w:t xml:space="preserve">•  </w:t>
      </w:r>
      <w:r>
        <w:rPr>
          <w:b w:val="0"/>
          <w:i w:val="0"/>
        </w:rPr>
        <w:t>Indexing and organizing inspection data across thousands of assets</w:t>
      </w:r>
    </w:p>
    <w:p>
      <w:pPr>
        <w:spacing w:before="0" w:after="60"/>
        <w:ind w:left="504" w:hanging="288"/>
      </w:pPr>
      <w:r>
        <w:rPr>
          <w:b w:val="0"/>
        </w:rPr>
        <w:t xml:space="preserve">•  </w:t>
      </w:r>
      <w:r>
        <w:rPr>
          <w:b w:val="0"/>
          <w:i w:val="0"/>
        </w:rPr>
        <w:t>Detecting anomalies across large datasets in a single run</w:t>
      </w:r>
    </w:p>
    <w:p>
      <w:pPr>
        <w:spacing w:before="0" w:after="60"/>
        <w:ind w:left="504" w:hanging="288"/>
      </w:pPr>
      <w:r>
        <w:rPr>
          <w:b w:val="0"/>
        </w:rPr>
        <w:t xml:space="preserve">•  </w:t>
      </w:r>
      <w:r>
        <w:rPr>
          <w:b w:val="0"/>
          <w:i w:val="0"/>
        </w:rPr>
        <w:t>Ranking findings by priority and cross-asset comparison</w:t>
      </w:r>
    </w:p>
    <w:p>
      <w:pPr>
        <w:spacing w:before="0" w:after="60"/>
        <w:ind w:left="504" w:hanging="288"/>
      </w:pPr>
      <w:r>
        <w:rPr>
          <w:b w:val="0"/>
        </w:rPr>
        <w:t xml:space="preserve">•  </w:t>
      </w:r>
      <w:r>
        <w:rPr>
          <w:b w:val="0"/>
          <w:i w:val="0"/>
        </w:rPr>
        <w:t>Enabling natural-language retrieval across the same dataset</w:t>
      </w:r>
    </w:p>
    <w:p>
      <w:pPr>
        <w:spacing w:before="0" w:after="60"/>
        <w:ind w:left="504" w:hanging="288"/>
      </w:pPr>
      <w:r>
        <w:rPr>
          <w:b w:val="0"/>
        </w:rPr>
        <w:t xml:space="preserve">•  </w:t>
      </w:r>
      <w:r>
        <w:rPr>
          <w:b w:val="0"/>
          <w:i w:val="0"/>
        </w:rPr>
        <w:t>Surfacing coverage gaps and revisit candidates back to the patrol planner</w:t>
      </w:r>
    </w:p>
    <w:p>
      <w:pPr>
        <w:spacing w:before="0" w:after="120"/>
      </w:pPr>
      <w:r>
        <w:rPr>
          <w:b w:val="0"/>
          <w:i w:val="0"/>
        </w:rPr>
        <w:t>Without this layer the workflow does not scale beyond manual review — and manual review is the workflow that today reviews fewer than 10% of captured imagery.</w:t>
      </w:r>
    </w:p>
    <w:p>
      <w:pPr>
        <w:pStyle w:val="Heading2"/>
      </w:pPr>
      <w:r>
        <w:rPr>
          <w:b w:val="0"/>
          <w:i w:val="0"/>
        </w:rPr>
        <w:t>Where Scale &amp; Impact connects in the rest of the PRD</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Topic</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Where it lives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Workflow that consumes the ranked inspection set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Operational Workflow — Anomaly-to-Action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Per-modality and cross-source detection / FPR targets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Operational Workflow — Performance and Accuracy Targets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Risk quantification and industry RAM benchmarking behind the avoided-cost number</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Integrity Analytical Chain — Stage 5</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Continuous coverage that compounds the v0.2 scan into trend data</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Expanded Capture &amp; Engineering Context — Autonomous robot coverage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Partner-led validation of MVP-style findings before they reach the CMMS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Partner-Integrated Delivery Model</w:t>
            </w:r>
          </w:p>
        </w:tc>
      </w:tr>
    </w:tbl>
    <w:p>
      <w:pPr>
        <w:spacing w:before="40" w:after="120"/>
      </w:pPr>
    </w:p>
    <w:p>
      <w:pPr>
        <w:pStyle w:val="Heading1"/>
      </w:pPr>
      <w:r>
        <w:rPr>
          <w:b w:val="0"/>
          <w:i w:val="0"/>
        </w:rPr>
        <w:t>Operational Workflow — Anomaly-to-Action</w:t>
      </w:r>
    </w:p>
    <w:p>
      <w:pPr>
        <w:spacing w:before="0" w:after="120"/>
      </w:pPr>
      <w:r>
        <w:rPr>
          <w:b w:val="0"/>
          <w:i w:val="0"/>
        </w:rPr>
        <w:t>To ensure Kav AI reduces cognitive load rather than creating "alarm fatigue," the platform follows a structured escalation path for every identified anomaly. v3.2 preserved the v2.9 human-in-the-loop workflow and extended it to account for robot-sourced findings, cross-source confirmation, and richer engineering context at the point of triage. v3.3 keeps that workflow intact and adds a cross-source confirmed performance target alongside the per-modality targets.</w:t>
      </w:r>
    </w:p>
    <w:p>
      <w:pPr>
        <w:spacing w:before="160" w:after="80"/>
        <w:jc w:val="center"/>
      </w:pPr>
      <w:r>
        <w:drawing>
          <wp:inline>
            <wp:extent cx="5760720" cy="5388099"/>
            <wp:docPr id="5" name="Picture 5"/>
            <wp:cNvGraphicFramePr>
              <a:graphicFrameLocks noChangeAspect="1"/>
            </wp:cNvGraphicFramePr>
            <a:graphic>
              <a:graphicData uri="http://schemas.openxmlformats.org/drawingml/2006/picture">
                <pic:pic>
                  <pic:nvPicPr>
                    <pic:cNvPr id="0" name="mermaid_fig5.png"/>
                    <pic:cNvPicPr/>
                  </pic:nvPicPr>
                  <pic:blipFill>
                    <a:blip r:embed="rId15"/>
                    <a:stretch>
                      <a:fillRect/>
                    </a:stretch>
                  </pic:blipFill>
                  <pic:spPr>
                    <a:xfrm>
                      <a:off x="0" y="0"/>
                      <a:ext cx="5760720" cy="5388099"/>
                    </a:xfrm>
                    <a:prstGeom prst="rect"/>
                  </pic:spPr>
                </pic:pic>
              </a:graphicData>
            </a:graphic>
          </wp:inline>
        </w:drawing>
      </w:r>
    </w:p>
    <w:p>
      <w:pPr>
        <w:spacing w:before="40" w:after="160"/>
        <w:jc w:val="left"/>
      </w:pPr>
      <w:r>
        <w:rPr>
          <w:i/>
          <w:color w:val="666666"/>
          <w:sz w:val="19"/>
        </w:rPr>
        <w:t>Figure 4.  Operator Workflow (Human-in-the-Loop).  High-consequence findings require human validation before transition to work order systems, while low-severity items are logged directly to the asset's world model. v3.3 retains this decision structure even when findings originate from autonomous patrols or multi-source correlation; multi-source confirmed findings can bypass the manual verification queue but never bypass the deterministic Filter Skill.</w:t>
      </w:r>
    </w:p>
    <w:p>
      <w:pPr>
        <w:pStyle w:val="Heading2"/>
      </w:pPr>
      <w:r>
        <w:rPr>
          <w:b w:val="0"/>
          <w:i w:val="0"/>
        </w:rPr>
        <w:t>The Triage-to-Escalation Path</w:t>
      </w:r>
    </w:p>
    <w:p>
      <w:pPr>
        <w:spacing w:before="0" w:after="120"/>
      </w:pPr>
      <w:r>
        <w:rPr>
          <w:b w:val="0"/>
          <w:i w:val="0"/>
        </w:rPr>
        <w:t>The workflow from AI detection to field action is governed by a four-stage process involving distinct operational roles:</w:t>
      </w:r>
    </w:p>
    <w:p>
      <w:pPr>
        <w:spacing w:before="0" w:after="60"/>
        <w:ind w:left="504" w:hanging="288"/>
      </w:pPr>
      <w:r>
        <w:rPr>
          <w:b w:val="0"/>
        </w:rPr>
        <w:t xml:space="preserve">1.  </w:t>
      </w:r>
      <w:r>
        <w:rPr>
          <w:b/>
          <w:i w:val="0"/>
        </w:rPr>
        <w:t>Stage A (Automated Triage)</w:t>
      </w:r>
      <w:r>
        <w:rPr>
          <w:b w:val="0"/>
          <w:i w:val="0"/>
        </w:rPr>
        <w:t xml:space="preserve">: AI identifies an anomaly, runs the </w:t>
      </w:r>
      <w:r>
        <w:rPr>
          <w:b/>
          <w:i w:val="0"/>
        </w:rPr>
        <w:t>cross-source correlation engine</w:t>
      </w:r>
      <w:r>
        <w:rPr>
          <w:b w:val="0"/>
          <w:i w:val="0"/>
        </w:rPr>
        <w:t xml:space="preserve">, and assigns an initial severity score (Critical/Standard/Info). </w:t>
      </w:r>
      <w:r>
        <w:rPr>
          <w:b/>
          <w:i w:val="0"/>
        </w:rPr>
        <w:t>Low-confidence alerts (&lt;0.7) are filtered from the primary 'Action' dashboard and moved to a 'Review' queue.</w:t>
      </w:r>
      <w:r>
        <w:rPr>
          <w:b w:val="0"/>
          <w:i w:val="0"/>
        </w:rPr>
        <w:t xml:space="preserve"> From v3.2 onwards, the triage packet also includes source type (drone, robot, control system / historian), patrol or campaign identifier, and CAD-linked asset identity. v3.3 adds the explicit </w:t>
      </w:r>
      <w:r>
        <w:rPr>
          <w:b/>
          <w:i w:val="0"/>
        </w:rPr>
        <w:t>correlation category</w:t>
      </w:r>
      <w:r>
        <w:rPr>
          <w:b w:val="0"/>
          <w:i w:val="0"/>
        </w:rPr>
        <w:t xml:space="preserve"> (single-source / corroborated / multi-source confirmed) on the triage packet.</w:t>
      </w:r>
    </w:p>
    <w:p>
      <w:pPr>
        <w:spacing w:before="0" w:after="60"/>
        <w:ind w:left="504" w:hanging="288"/>
      </w:pPr>
      <w:r>
        <w:rPr>
          <w:b w:val="0"/>
        </w:rPr>
        <w:t xml:space="preserve">2.  </w:t>
      </w:r>
      <w:r>
        <w:rPr>
          <w:b/>
          <w:i w:val="0"/>
        </w:rPr>
        <w:t>Stage B (Human Verification)</w:t>
      </w:r>
      <w:r>
        <w:rPr>
          <w:b w:val="0"/>
          <w:i w:val="0"/>
        </w:rPr>
        <w:t xml:space="preserve">: High-severity anomalies are surfaced to the </w:t>
      </w:r>
      <w:r>
        <w:rPr>
          <w:b/>
          <w:i w:val="0"/>
        </w:rPr>
        <w:t>On-call Integrity / Reliability Engineer's</w:t>
      </w:r>
      <w:r>
        <w:rPr>
          <w:b w:val="0"/>
          <w:i w:val="0"/>
        </w:rPr>
        <w:t xml:space="preserve"> dashboard (desktop/mobile). The engineer must select: </w:t>
      </w:r>
      <w:r>
        <w:rPr>
          <w:b/>
          <w:i w:val="0"/>
        </w:rPr>
        <w:t>'Confirm' (Escalate to Field), 'Dismiss' (False Positive - Model Feedback), or 'Reclassify' (Adjust Severity).</w:t>
      </w:r>
      <w:r>
        <w:rPr>
          <w:b w:val="0"/>
          <w:i w:val="0"/>
        </w:rPr>
        <w:t xml:space="preserve"> Cross-source corroboration can raise priority and, in the multi-source confirmed class, can shorten the queue, but it does not bypass deterministic Filter Skill rejection or Stage 3.5 inconsistency flags.</w:t>
      </w:r>
    </w:p>
    <w:p>
      <w:pPr>
        <w:spacing w:before="0" w:after="60"/>
        <w:ind w:left="504" w:hanging="288"/>
      </w:pPr>
      <w:r>
        <w:rPr>
          <w:b w:val="0"/>
        </w:rPr>
        <w:t xml:space="preserve">3.  </w:t>
      </w:r>
      <w:r>
        <w:rPr>
          <w:b/>
          <w:i w:val="0"/>
        </w:rPr>
        <w:t>Stage C (Escalation &amp; Audit)</w:t>
      </w:r>
      <w:r>
        <w:rPr>
          <w:b w:val="0"/>
          <w:i w:val="0"/>
        </w:rPr>
        <w:t xml:space="preserve">: Confirmed anomalies generate an "Actionable Insight" record. </w:t>
      </w:r>
      <w:r>
        <w:rPr>
          <w:b/>
          <w:i w:val="0"/>
        </w:rPr>
        <w:t>Every 'Dismiss' or 'Confirm' decision is timestamped and logged in a shift-handover audit report visible to the Operations / Maintenance Supervisor.</w:t>
      </w:r>
      <w:r>
        <w:rPr>
          <w:b w:val="0"/>
          <w:i w:val="0"/>
        </w:rPr>
        <w:t xml:space="preserve"> Coverage context and engineering-change context are attached where available.</w:t>
      </w:r>
    </w:p>
    <w:p>
      <w:pPr>
        <w:spacing w:before="0" w:after="60"/>
        <w:ind w:left="504" w:hanging="288"/>
      </w:pPr>
      <w:r>
        <w:rPr>
          <w:b w:val="0"/>
        </w:rPr>
        <w:t xml:space="preserve">4.  </w:t>
      </w:r>
      <w:r>
        <w:rPr>
          <w:b/>
          <w:i w:val="0"/>
        </w:rPr>
        <w:t>Stage D (CMMS Integration)</w:t>
      </w:r>
      <w:r>
        <w:rPr>
          <w:b w:val="0"/>
          <w:i w:val="0"/>
        </w:rPr>
        <w:t xml:space="preserve">: Verified insights provide a structured data packet for the operator's CMMS / EAM (e.g., SAP PM, IBM Maximo, or equivalent) to initiate a work order or maintenance notification. </w:t>
      </w:r>
      <w:r>
        <w:rPr>
          <w:b/>
          <w:i w:val="0"/>
        </w:rPr>
        <w:t>Kav AI reduces the 'Triage-to-Work Order' cycle from 5–10 days to &lt; 4 hours.</w:t>
      </w:r>
      <w:r>
        <w:rPr>
          <w:b w:val="0"/>
          <w:i w:val="0"/>
        </w:rPr>
        <w:t xml:space="preserve"> SAP PM remains the first certified connector priority because it opens the largest installed-base pathway across heavy industry.</w:t>
      </w:r>
    </w:p>
    <w:p>
      <w:pPr>
        <w:pStyle w:val="Heading2"/>
      </w:pPr>
      <w:r>
        <w:rPr>
          <w:b w:val="0"/>
          <w:i w:val="0"/>
        </w:rPr>
        <w:t>Performance and Accuracy Targets</w:t>
      </w:r>
    </w:p>
    <w:p>
      <w:pPr>
        <w:spacing w:before="0" w:after="120"/>
      </w:pPr>
      <w:r>
        <w:rPr>
          <w:b w:val="0"/>
          <w:i w:val="0"/>
        </w:rPr>
        <w:t>To maintain operational trust, Kav AI commits to the following detection and false positive targets for Q3/Q4 2026 (benchmarked against M0/M1 datasets and validated by ground-truth NDT):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Modality / class</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True Positive Rate (TPR)</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False Positive Rate (FPR)</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Target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Visual (RGB)</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&gt; 85%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&lt; 15%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Thermal (Point)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&gt; 90%</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&lt; 10%</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Specialty imagery (e.g., gas / OGI where applicable)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&gt; 95%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&lt; 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Operating-limit exceedance (control system / historian)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&gt; 98%</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&lt; 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Cross-source corroborated (2 sources)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&gt; 95%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&lt; 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Multi-source confirmed (3+ sources)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&gt; 98%</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&lt; 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r>
    </w:tbl>
    <w:p>
      <w:pPr>
        <w:spacing w:before="40" w:after="120"/>
      </w:pPr>
    </w:p>
    <w:p>
      <w:pPr>
        <w:spacing w:before="40" w:after="160"/>
        <w:jc w:val="left"/>
      </w:pPr>
      <w:r>
        <w:rPr>
          <w:i/>
          <w:color w:val="666666"/>
          <w:sz w:val="19"/>
        </w:rPr>
        <w:t>Detection rates are based on the Kav AI M0/M1 validation campaigns and require site-specific calibration during the 90-day pilot phase. The multi-source confirmed line is the externally-quoted "moat" claim and is the only class that may bypass the manual verification queue (still subject to Filter Skill and Stage 3.5 consistency).</w:t>
      </w:r>
    </w:p>
    <w:p>
      <w:pPr>
        <w:pStyle w:val="Heading2"/>
      </w:pPr>
      <w:r>
        <w:rPr>
          <w:b w:val="0"/>
          <w:i w:val="0"/>
        </w:rPr>
        <w:t>Human-in-the-Loop (HITL) Validation</w:t>
      </w:r>
    </w:p>
    <w:p>
      <w:pPr>
        <w:spacing w:before="0" w:after="120"/>
      </w:pPr>
      <w:r>
        <w:rPr>
          <w:b w:val="0"/>
          <w:i w:val="0"/>
        </w:rPr>
        <w:t>Kav AI is a decision-support tool, not an autonomous inspector. No "Critical" severity output or "Remaining Life" adjustment can be finalized without individual engineer sign-off in the platform. Every such action is captured in the version-controlled audit trail.</w:t>
      </w:r>
    </w:p>
    <w:p>
      <w:pPr>
        <w:pStyle w:val="Heading2"/>
      </w:pPr>
      <w:r>
        <w:rPr>
          <w:b w:val="0"/>
          <w:i w:val="0"/>
        </w:rPr>
        <w:t>Business Readiness &amp; Referenceability</w:t>
      </w:r>
    </w:p>
    <w:p>
      <w:pPr>
        <w:spacing w:before="0" w:after="120"/>
      </w:pPr>
      <w:r>
        <w:rPr>
          <w:b w:val="0"/>
          <w:i w:val="0"/>
        </w:rPr>
        <w:t>Kav AI recognizes that enterprise procurement requires a clear path to value and financial predictability.</w:t>
      </w:r>
    </w:p>
    <w:p>
      <w:pPr>
        <w:pStyle w:val="Heading3"/>
      </w:pPr>
      <w:r>
        <w:rPr>
          <w:b w:val="0"/>
          <w:i w:val="0"/>
        </w:rPr>
        <w:t>Cost Model &amp; ROI Modeling</w:t>
      </w:r>
    </w:p>
    <w:p>
      <w:pPr>
        <w:spacing w:before="0" w:after="120"/>
      </w:pPr>
      <w:r>
        <w:rPr>
          <w:b w:val="0"/>
          <w:i w:val="0"/>
        </w:rPr>
        <w:t xml:space="preserve">Kav AI recognizes that enterprise procurement requires a clear path to value and financial predictability. </w:t>
      </w:r>
      <w:r>
        <w:rPr>
          <w:b/>
          <w:i w:val="0"/>
        </w:rPr>
        <w:t>Indicative pricing components include:</w:t>
      </w:r>
    </w:p>
    <w:p>
      <w:pPr>
        <w:spacing w:before="0" w:after="60"/>
        <w:ind w:left="504" w:hanging="288"/>
      </w:pPr>
      <w:r>
        <w:rPr>
          <w:b w:val="0"/>
        </w:rPr>
        <w:t xml:space="preserve">•  </w:t>
      </w:r>
      <w:r>
        <w:rPr>
          <w:b/>
          <w:i w:val="0"/>
        </w:rPr>
        <w:t>Annual Subscription (License)</w:t>
      </w:r>
      <w:r>
        <w:rPr>
          <w:b w:val="0"/>
          <w:i w:val="0"/>
        </w:rPr>
        <w:t>: Per-facility tiered pricing based on asset count.</w:t>
      </w:r>
    </w:p>
    <w:p>
      <w:pPr>
        <w:spacing w:before="0" w:after="60"/>
        <w:ind w:left="504" w:hanging="288"/>
      </w:pPr>
      <w:r>
        <w:rPr>
          <w:b w:val="0"/>
        </w:rPr>
        <w:t xml:space="preserve">•  </w:t>
      </w:r>
      <w:r>
        <w:rPr>
          <w:b/>
          <w:i w:val="0"/>
        </w:rPr>
        <w:t>Implementation &amp; Integration</w:t>
      </w:r>
      <w:r>
        <w:rPr>
          <w:b w:val="0"/>
          <w:i w:val="0"/>
        </w:rPr>
        <w:t>: One-time setup fee for control-system / historian mapping and 3D Model ingestion.</w:t>
      </w:r>
    </w:p>
    <w:p>
      <w:pPr>
        <w:spacing w:before="0" w:after="60"/>
        <w:ind w:left="504" w:hanging="288"/>
      </w:pPr>
      <w:r>
        <w:rPr>
          <w:b w:val="0"/>
        </w:rPr>
        <w:t xml:space="preserve">•  </w:t>
      </w:r>
      <w:r>
        <w:rPr>
          <w:b/>
          <w:i w:val="0"/>
        </w:rPr>
        <w:t>Success &amp; Support</w:t>
      </w:r>
      <w:r>
        <w:rPr>
          <w:b w:val="0"/>
          <w:i w:val="0"/>
        </w:rPr>
        <w:t>: Ongoing model retraining and integrity / reliability engineering support.</w:t>
      </w:r>
    </w:p>
    <w:p>
      <w:pPr>
        <w:pStyle w:val="Heading3"/>
      </w:pPr>
      <w:r>
        <w:rPr>
          <w:b w:val="0"/>
          <w:i w:val="0"/>
        </w:rPr>
        <w:t>Availability &amp; Payback Commitment</w:t>
      </w:r>
    </w:p>
    <w:p>
      <w:pPr>
        <w:spacing w:before="0" w:after="120"/>
      </w:pPr>
      <w:r>
        <w:rPr>
          <w:b w:val="0"/>
          <w:i w:val="0"/>
        </w:rPr>
        <w:t xml:space="preserve">Based on industry RAM benchmarking, Kav AI targets a </w:t>
      </w:r>
      <w:r>
        <w:rPr>
          <w:b/>
          <w:i w:val="0"/>
        </w:rPr>
        <w:t>1.0 percentage point improvement in facility availability within 18 months</w:t>
      </w:r>
      <w:r>
        <w:rPr>
          <w:b w:val="0"/>
          <w:i w:val="0"/>
        </w:rPr>
        <w:t xml:space="preserve"> of full operational deployment. This is achieved through the elimination of data-latency-driven outage delays and the early detection of high-consequence failure modes. The benchmarking framework used in commercial conversation is selected per industry (e.g., Solomon Associates for hydrocarbons; equivalent benchmarking organizations for power, metals, pulp &amp; paper, and chemicals).</w:t>
      </w:r>
    </w:p>
    <w:p>
      <w:pPr>
        <w:spacing w:before="0" w:after="120"/>
      </w:pPr>
      <w:r>
        <w:rPr>
          <w:b w:val="0"/>
          <w:i w:val="0"/>
        </w:rPr>
        <w:t>For sites that adopt fixed infrastructure and repeat patrol coverage, the business case broadens:</w:t>
      </w:r>
    </w:p>
    <w:p>
      <w:pPr>
        <w:spacing w:before="0" w:after="60"/>
        <w:ind w:left="504" w:hanging="288"/>
      </w:pPr>
      <w:r>
        <w:rPr>
          <w:b w:val="0"/>
        </w:rPr>
        <w:t xml:space="preserve">•  </w:t>
      </w:r>
      <w:r>
        <w:rPr>
          <w:b/>
          <w:i w:val="0"/>
        </w:rPr>
        <w:t>Coverage continuity</w:t>
      </w:r>
      <w:r>
        <w:rPr>
          <w:b w:val="0"/>
          <w:i w:val="0"/>
        </w:rPr>
        <w:t>: higher percentage of the facility seen between major campaigns.</w:t>
      </w:r>
    </w:p>
    <w:p>
      <w:pPr>
        <w:spacing w:before="0" w:after="60"/>
        <w:ind w:left="504" w:hanging="288"/>
      </w:pPr>
      <w:r>
        <w:rPr>
          <w:b w:val="0"/>
        </w:rPr>
        <w:t xml:space="preserve">•  </w:t>
      </w:r>
      <w:r>
        <w:rPr>
          <w:b/>
          <w:i w:val="0"/>
        </w:rPr>
        <w:t>Trend visibility</w:t>
      </w:r>
      <w:r>
        <w:rPr>
          <w:b w:val="0"/>
          <w:i w:val="0"/>
        </w:rPr>
        <w:t>: progressive degradation detected across repeated passes, not only one-time campaigns.</w:t>
      </w:r>
    </w:p>
    <w:p>
      <w:pPr>
        <w:spacing w:before="0" w:after="60"/>
        <w:ind w:left="504" w:hanging="288"/>
      </w:pPr>
      <w:r>
        <w:rPr>
          <w:b w:val="0"/>
        </w:rPr>
        <w:t xml:space="preserve">•  </w:t>
      </w:r>
      <w:r>
        <w:rPr>
          <w:b/>
          <w:i w:val="0"/>
        </w:rPr>
        <w:t>Human entry reduction</w:t>
      </w:r>
      <w:r>
        <w:rPr>
          <w:b w:val="0"/>
          <w:i w:val="0"/>
        </w:rPr>
        <w:t>: especially relevant where heat, dust, gas, dose, confined space, or outage logistics make manual inspection disproportionately expensive.</w:t>
      </w:r>
    </w:p>
    <w:p>
      <w:pPr>
        <w:pStyle w:val="Heading2"/>
      </w:pPr>
      <w:r>
        <w:rPr>
          <w:b w:val="0"/>
          <w:i w:val="0"/>
        </w:rPr>
        <w:t>IDMS / EAM and Ecosystem Integration</w:t>
      </w:r>
    </w:p>
    <w:p>
      <w:pPr>
        <w:spacing w:before="0" w:after="120"/>
      </w:pPr>
      <w:r>
        <w:rPr>
          <w:b w:val="0"/>
          <w:i w:val="0"/>
        </w:rPr>
        <w:t>Kav AI is designed to sit inside existing inspection and maintenance workflows, not alongside them.</w:t>
      </w:r>
    </w:p>
    <w:p>
      <w:pPr>
        <w:pStyle w:val="Heading3"/>
      </w:pPr>
      <w:r>
        <w:rPr>
          <w:b w:val="0"/>
          <w:i w:val="0"/>
        </w:rPr>
        <w:t>Bidirectional Integration Architecture (FR-INT-03)</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Direction</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What flows</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Purpose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Read (IDMS / EAM → Kav AI)</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Asset register, monitoring location identifiers and baseline readings, inspection history per location, current inspection plan, open anomalies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Enables Stages 3–5 to leverage existing RBI / inspection data rather than starting from zero. Without the read direction, Kav AI cannot know what has already been inspected, what the baseline measurement was, or what the current inspection plan says.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Write (Kav AI → IDMS / EAM)</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Asset ID, anomaly type, severity, confidence score, supporting evidence (image references, thickness / wear readings, operating-limit exceedance logs), recommended action, engineer sign-off timestamp</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Confirmed anomaly findings generate inspection notifications in the operator's IDMS / EAM / CMMS to trigger work-order creation.</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Conflict resolution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When Kav AI's degradation / wear rate disagrees with the IDMS's existing rate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flags the discrepancy and surfaces both values to the engineer — does not silently override the existing record.</w:t>
            </w:r>
          </w:p>
        </w:tc>
      </w:tr>
    </w:tbl>
    <w:p>
      <w:pPr>
        <w:spacing w:before="40" w:after="120"/>
      </w:pPr>
    </w:p>
    <w:p>
      <w:pPr>
        <w:pStyle w:val="Heading3"/>
      </w:pPr>
      <w:r>
        <w:rPr>
          <w:b w:val="0"/>
          <w:i w:val="0"/>
        </w:rPr>
        <w:t>Certified Connector Priority (FR-INT-04)</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Priority</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System</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Rationale</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Target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1</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SAP PM / SAP APM</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Highest installed work-management base across heavy industry; SAP APM + thin-edge.io patterns can consume PI data where the customer already uses SAP for maintenance workflows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AVEVA PI System / AVEVA APM</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Primary steel-production incumbent for high-frequency OT data, predictive analytics, and metals-specific digital-thread workflows; required read path for many blast-furnace, EAF, caster, and rolling-mill deployments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 / H2 2027</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GE Vernova APM (Meridium)</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Strong RBI module already in place at many Tier-1 industrial operators; bidirectional integration is high-value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H2 2027</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4</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Hexagon ALI / IBM Maximo</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Asset-lifecycle and EAM platforms commonly used outside hydrocarbons (e.g., metals, power, mining); certification closes the integration loop</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H2 2027</w:t>
            </w:r>
          </w:p>
        </w:tc>
      </w:tr>
    </w:tbl>
    <w:p>
      <w:pPr>
        <w:spacing w:before="40" w:after="120"/>
      </w:pPr>
    </w:p>
    <w:p>
      <w:pPr>
        <w:spacing w:before="40" w:after="160"/>
        <w:jc w:val="left"/>
      </w:pPr>
      <w:r>
        <w:rPr>
          <w:i/>
          <w:color w:val="666666"/>
          <w:sz w:val="19"/>
        </w:rPr>
        <w:t>A certified integration means: a documented data schema, a tested connector, a reference customer who has run it in production, and a support SLA.</w:t>
      </w:r>
    </w:p>
    <w:p>
      <w:pPr>
        <w:pStyle w:val="Heading3"/>
      </w:pPr>
      <w:r>
        <w:rPr>
          <w:b w:val="0"/>
          <w:i w:val="0"/>
        </w:rPr>
        <w:t>Coexistence with Established RBI / APM Platforms</w:t>
      </w:r>
    </w:p>
    <w:p>
      <w:pPr>
        <w:spacing w:before="0" w:after="120"/>
      </w:pPr>
      <w:r>
        <w:rPr>
          <w:b w:val="0"/>
          <w:i w:val="0"/>
        </w:rPr>
        <w:t>Established RBI / APM platforms and Kav AI are complementary, not competitive. The coexistence pattern is the same regardless of vendor:</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System</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Owns</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Data flow</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Existing RBI / APM platform</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RBI model, monitoring-location history, RBI inspection plan, compliance record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RBI baseline → Kav AI Stage 5 degradation-rate input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Kav AI</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3D spatial model, visual anomaly detection, operational-data → operating-limit chain, physical validation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Stage 4 / 5 outputs → existing platform inspection-plan update → compliance record</w:t>
            </w:r>
          </w:p>
        </w:tc>
      </w:tr>
    </w:tbl>
    <w:p>
      <w:pPr>
        <w:spacing w:before="40" w:after="120"/>
      </w:pPr>
    </w:p>
    <w:p>
      <w:pPr>
        <w:spacing w:before="0" w:after="60"/>
        <w:ind w:left="504" w:hanging="288"/>
      </w:pPr>
      <w:r>
        <w:rPr>
          <w:b w:val="0"/>
        </w:rPr>
        <w:t xml:space="preserve">•  </w:t>
      </w:r>
      <w:r>
        <w:rPr>
          <w:b/>
          <w:i w:val="0"/>
        </w:rPr>
        <w:t>Audit Consistency</w:t>
      </w:r>
      <w:r>
        <w:rPr>
          <w:b w:val="0"/>
          <w:i w:val="0"/>
        </w:rPr>
        <w:t>: Ensures the 3D 'Spatial Record' (Kav AI) and the 'Compliance Record' (existing RBI / APM platform) remain synchronized via scheduled SQL / Web API connectors.</w:t>
      </w:r>
    </w:p>
    <w:p>
      <w:pPr>
        <w:pStyle w:val="Heading3"/>
      </w:pPr>
      <w:r>
        <w:rPr>
          <w:b w:val="0"/>
          <w:i w:val="0"/>
        </w:rPr>
        <w:t>Reference Customers</w:t>
      </w:r>
    </w:p>
    <w:p>
      <w:pPr>
        <w:spacing w:before="0" w:after="120"/>
      </w:pPr>
      <w:r>
        <w:rPr>
          <w:b w:val="0"/>
          <w:i w:val="0"/>
        </w:rPr>
        <w:t>A third major inspection campaign at a Tier-1 industrial reference site is planned; ahead of it, the near-term data path is ingesting the operator's existing inspection data. Reference calls with the lead Integrity / Reliability Engineer can be facilitated upon request for qualified enterprise buyers.</w:t>
      </w:r>
    </w:p>
    <w:p>
      <w:pPr>
        <w:pStyle w:val="Heading3"/>
      </w:pPr>
      <w:r>
        <w:rPr>
          <w:b w:val="0"/>
          <w:i w:val="0"/>
        </w:rPr>
        <w:t>Partner-led delivery channel</w:t>
      </w:r>
    </w:p>
    <w:p>
      <w:pPr>
        <w:spacing w:before="0" w:after="120"/>
      </w:pPr>
      <w:r>
        <w:rPr>
          <w:b w:val="0"/>
          <w:i w:val="0"/>
        </w:rPr>
        <w:t>Where the customer prefers an integrated delivery model — platform plus mechanical-integrity / reliability engineering services in a single procurement vehicle — Kav AI engages with qualified partners who provide the human Integrity / Reliability Engineer panel, failure-mechanism program work, and HITL validation. The Partner-Integrated Delivery Model section describes this channel in full.</w:t>
      </w:r>
    </w:p>
    <w:p>
      <w:pPr>
        <w:pStyle w:val="Heading1"/>
      </w:pPr>
      <w:r>
        <w:rPr>
          <w:b w:val="0"/>
          <w:i w:val="0"/>
        </w:rPr>
        <w:t>The Integrity Analytical Chain — Architectural Ownership</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Status: Roadmap for the process-telemetry entry; prototype for the inspection-evidence entry.</w:t>
            </w:r>
            <w:r>
              <w:rPr>
                <w:rFonts w:ascii="Arial" w:hAnsi="Arial"/>
                <w:b/>
                <w:i w:val="0"/>
                <w:color w:val="1B3A6B"/>
                <w:sz w:val="22"/>
              </w:rPr>
              <w:t xml:space="preserve"> The</w:t>
            </w:r>
          </w:p>
          <w:p>
            <w:pPr>
              <w:spacing w:before="0" w:after="0"/>
            </w:pPr>
            <w:r>
              <w:rPr>
                <w:rFonts w:ascii="Arial" w:hAnsi="Arial"/>
                <w:b w:val="0"/>
                <w:i w:val="0"/>
                <w:color w:val="222222"/>
                <w:sz w:val="20"/>
              </w:rPr>
              <w:t xml:space="preserve">OPC UA / control-system connector and every stage that depends on operational-telemetry ingestion are roadmap items — no live control-system integration exists today; target availability is Q4 2026, directional and subject to revision. The same six-stage chain entered from inspection imagery (RGB and thermal) runs today as a functional prototype — Alpha (prototype) in the status vocabulary — closing with the engineer's decision rather than a quantified risk score. See </w:t>
            </w:r>
            <w:r>
              <w:rPr>
                <w:rFonts w:ascii="Arial" w:hAnsi="Arial"/>
                <w:b w:val="0"/>
                <w:i/>
                <w:color w:val="222222"/>
                <w:sz w:val="20"/>
              </w:rPr>
              <w:t>The chain by evidence modality</w:t>
            </w:r>
            <w:r>
              <w:rPr>
                <w:rFonts w:ascii="Arial" w:hAnsi="Arial"/>
                <w:b w:val="0"/>
                <w:i w:val="0"/>
                <w:color w:val="222222"/>
                <w:sz w:val="20"/>
              </w:rPr>
              <w:t xml:space="preserve"> below.</w:t>
            </w:r>
          </w:p>
        </w:tc>
      </w:tr>
    </w:tbl>
    <w:p>
      <w:pPr>
        <w:spacing w:before="40" w:after="120"/>
      </w:pPr>
    </w:p>
    <w:p>
      <w:pPr>
        <w:spacing w:before="0" w:after="120"/>
      </w:pPr>
      <w:r>
        <w:rPr>
          <w:b w:val="0"/>
          <w:i w:val="0"/>
        </w:rPr>
        <w:t xml:space="preserve">The Operating-Limit / Failure-Mechanism (OLW / FMR — historically referred to in hydrocarbons as IOW / DMR) closed-loop analytical chain is the core intelligence differentiator of the Kav AI platform. It is one chain with several entries — modality-agnostic at the point of entry, entered today from inspection evidence and, from Q4 2026 onwards, from operational telemetry. This section defines the planned architecture of the telemetry entry, the chain's owner, and the intended data flow from operational-data ingestion to actionable risk output, then the same stages by evidence modality. From v3.2 onwards the same chain is planned to be strengthened by robot patrol evidence, CAD-linked asset identity, and cross-source confirmation, while keeping the v2.9 architecture intact. v3.3 makes one further clarification: the cross-source correlation engine described in Expanded Capture &amp; Engineering Context will run </w:t>
      </w:r>
      <w:r>
        <w:rPr>
          <w:b w:val="0"/>
          <w:i/>
        </w:rPr>
        <w:t>before</w:t>
      </w:r>
      <w:r>
        <w:rPr>
          <w:b w:val="0"/>
          <w:i w:val="0"/>
        </w:rPr>
        <w:t xml:space="preserve"> Stage 3.5 and </w:t>
      </w:r>
      <w:r>
        <w:rPr>
          <w:b w:val="0"/>
          <w:i/>
        </w:rPr>
        <w:t>feed</w:t>
      </w:r>
      <w:r>
        <w:rPr>
          <w:b w:val="0"/>
          <w:i w:val="0"/>
        </w:rPr>
        <w:t xml:space="preserve"> the evidence-consistency check — it does not replace it.</w:t>
      </w:r>
    </w:p>
    <w:p>
      <w:pPr>
        <w:spacing w:before="160" w:after="80"/>
        <w:jc w:val="center"/>
      </w:pPr>
      <w:r>
        <w:drawing>
          <wp:inline>
            <wp:extent cx="5760720" cy="3909060"/>
            <wp:docPr id="6" name="Picture 6"/>
            <wp:cNvGraphicFramePr>
              <a:graphicFrameLocks noChangeAspect="1"/>
            </wp:cNvGraphicFramePr>
            <a:graphic>
              <a:graphicData uri="http://schemas.openxmlformats.org/drawingml/2006/picture">
                <pic:pic>
                  <pic:nvPicPr>
                    <pic:cNvPr id="0" name="l2_container_diagram.png"/>
                    <pic:cNvPicPr/>
                  </pic:nvPicPr>
                  <pic:blipFill>
                    <a:blip r:embed="rId16"/>
                    <a:stretch>
                      <a:fillRect/>
                    </a:stretch>
                  </pic:blipFill>
                  <pic:spPr>
                    <a:xfrm>
                      <a:off x="0" y="0"/>
                      <a:ext cx="5760720" cy="3909060"/>
                    </a:xfrm>
                    <a:prstGeom prst="rect"/>
                  </pic:spPr>
                </pic:pic>
              </a:graphicData>
            </a:graphic>
          </wp:inline>
        </w:drawing>
      </w:r>
    </w:p>
    <w:p>
      <w:pPr>
        <w:spacing w:before="40" w:after="160"/>
        <w:jc w:val="left"/>
      </w:pPr>
      <w:r>
        <w:rPr>
          <w:i/>
          <w:color w:val="666666"/>
          <w:sz w:val="19"/>
        </w:rPr>
        <w:t>Figure 5.  Kav AI Platform — Internal Architecture.  Shows how the AI analytical pipeline connects to operator data sources. Control system / historian (teal border, Q4) is a planned integration. From v3.2 onwards robot telemetry and CAD-derived engineering context are additional input layers into the same read-only intelligence architecture. v3.3 highlights the cross-source correlation engine as the explicit fan-in step ahead of Stage 3.5.</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Architectural owner (planned) The</w:t>
            </w:r>
          </w:p>
          <w:p>
            <w:pPr>
              <w:spacing w:before="0" w:after="0"/>
            </w:pPr>
            <w:r>
              <w:rPr>
                <w:rFonts w:ascii="Arial" w:hAnsi="Arial"/>
                <w:b w:val="0"/>
                <w:i w:val="0"/>
                <w:color w:val="222222"/>
                <w:sz w:val="20"/>
              </w:rPr>
              <w:t>OLW / FMR chain will be owned by Kav AI's data retrieval engine. It is entered from whichever evidence modality is present — inspection findings raised against an asset today; control-system or historian data when present in the query context (Q4). The platform will sequence its execution across the six stages below; findings will be formatted for the operator interface.</w:t>
            </w:r>
          </w:p>
        </w:tc>
      </w:tr>
    </w:tbl>
    <w:p>
      <w:pPr>
        <w:spacing w:before="40" w:after="120"/>
      </w:pPr>
    </w:p>
    <w:p>
      <w:pPr>
        <w:spacing w:before="160" w:after="80"/>
        <w:jc w:val="center"/>
      </w:pPr>
      <w:r>
        <w:drawing>
          <wp:inline>
            <wp:extent cx="5760720" cy="493195"/>
            <wp:docPr id="7" name="Picture 7"/>
            <wp:cNvGraphicFramePr>
              <a:graphicFrameLocks noChangeAspect="1"/>
            </wp:cNvGraphicFramePr>
            <a:graphic>
              <a:graphicData uri="http://schemas.openxmlformats.org/drawingml/2006/picture">
                <pic:pic>
                  <pic:nvPicPr>
                    <pic:cNvPr id="0" name="mermaid_fig4.png"/>
                    <pic:cNvPicPr/>
                  </pic:nvPicPr>
                  <pic:blipFill>
                    <a:blip r:embed="rId17"/>
                    <a:stretch>
                      <a:fillRect/>
                    </a:stretch>
                  </pic:blipFill>
                  <pic:spPr>
                    <a:xfrm>
                      <a:off x="0" y="0"/>
                      <a:ext cx="5760720" cy="493195"/>
                    </a:xfrm>
                    <a:prstGeom prst="rect"/>
                  </pic:spPr>
                </pic:pic>
              </a:graphicData>
            </a:graphic>
          </wp:inline>
        </w:drawing>
      </w:r>
    </w:p>
    <w:p>
      <w:pPr>
        <w:spacing w:before="40" w:after="160"/>
        <w:jc w:val="left"/>
      </w:pPr>
      <w:r>
        <w:rPr>
          <w:i/>
          <w:color w:val="666666"/>
          <w:sz w:val="19"/>
        </w:rPr>
        <w:t>Figure 6.  OLW / FMR 6-Stage Analytical Pipeline.  The automated chain flows from raw operational telemetry to prioritized corrective action recommendations, with human-in-the-loop validation at Stage 4. v3.3 retains this structure and expands the evidence available at Stages 3.5–5, with cross-source correlation feeding the evidence-consistency check at Stage 3.5.</w:t>
      </w:r>
    </w:p>
    <w:p>
      <w:pPr>
        <w:pStyle w:val="Heading2"/>
      </w:pPr>
      <w:r>
        <w:rPr>
          <w:b w:val="0"/>
          <w:i w:val="0"/>
        </w:rPr>
        <w:t>The six-stage analytical chain (planned)</w:t>
      </w:r>
    </w:p>
    <w:p>
      <w:pPr>
        <w:spacing w:before="0" w:after="120"/>
      </w:pPr>
      <w:r>
        <w:rPr>
          <w:b w:val="0"/>
          <w:i w:val="0"/>
        </w:rPr>
        <w:t>The chain is designed to run from raw operational telemetry through to prioritized corrective action recommendations, benchmarked against an industry-appropriate reliability database (e.g., Solomon Associates for hydrocarbons; equivalent benchmarking for power, metals, pulp &amp; paper, and chemicals) at the risk quantification stage. The OPC UA / control-system connector required to feed Stage 1 is not yet in place; the stages below describe the target architecture.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1872"/>
        <w:gridCol w:w="1872"/>
        <w:gridCol w:w="1872"/>
        <w:gridCol w:w="1872"/>
        <w:gridCol w:w="1872"/>
      </w:tblGrid>
      <w:tr>
        <w:tc>
          <w:tcPr>
            <w:tcW w:w="1872"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t>
            </w:r>
          </w:p>
        </w:tc>
        <w:tc>
          <w:tcPr>
            <w:tcW w:w="1872"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Stage</w:t>
            </w:r>
          </w:p>
        </w:tc>
        <w:tc>
          <w:tcPr>
            <w:tcW w:w="1872"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What the agent does</w:t>
            </w:r>
          </w:p>
        </w:tc>
        <w:tc>
          <w:tcPr>
            <w:tcW w:w="1872"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Data consumed</w:t>
            </w:r>
          </w:p>
        </w:tc>
        <w:tc>
          <w:tcPr>
            <w:tcW w:w="1872"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Output</w:t>
            </w:r>
          </w:p>
        </w:tc>
      </w:tr>
      <w:tr>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1</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ingestion &amp; QC</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Normalizes multi-source sensor streams via OPC UA. Applies statistical outlier detection and handling for control-system / historian failure modes: </w:t>
            </w:r>
            <w:r>
              <w:rPr>
                <w:rFonts w:ascii="Arial" w:hAnsi="Arial"/>
                <w:b/>
                <w:i w:val="0"/>
                <w:color w:val="111111"/>
                <w:sz w:val="20"/>
              </w:rPr>
              <w:t>stale values (frozen tags), engineering unit inconsistencies (base vs. scaled), and historian gaps (e.g., PI 'shutdown' vs. AVEVA 'null').</w:t>
            </w:r>
            <w:r>
              <w:rPr>
                <w:rFonts w:ascii="Arial" w:hAnsi="Arial"/>
                <w:b w:val="0"/>
                <w:i w:val="0"/>
                <w:color w:val="111111"/>
                <w:sz w:val="20"/>
              </w:rPr>
              <w:t xml:space="preserve"> Establishes timestamp synchronization within a </w:t>
            </w:r>
            <w:r>
              <w:rPr>
                <w:rFonts w:ascii="Arial" w:hAnsi="Arial"/>
                <w:b/>
                <w:i w:val="0"/>
                <w:color w:val="111111"/>
                <w:sz w:val="20"/>
              </w:rPr>
              <w:t>±500ms alignment window</w:t>
            </w:r>
            <w:r>
              <w:rPr>
                <w:rFonts w:ascii="Arial" w:hAnsi="Arial"/>
                <w:b w:val="0"/>
                <w:i w:val="0"/>
                <w:color w:val="111111"/>
                <w:sz w:val="20"/>
              </w:rPr>
              <w:t>.</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Control system, OPC UA historian, IoT sensors</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Validated sensor record</w:t>
            </w:r>
          </w:p>
        </w:tc>
      </w:tr>
      <w:tr>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2</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Operating-limit classification</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Compares validated readings against Operating-Limit Window definitions (industry-equivalent of API 584 IOWs). Categorizes exceedances as critical, standard, or informational. Scores by duration × intensity to prevent alarm fatigue.</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Validated sensor record, operating-limit database</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Exceedance events with severity score</w:t>
            </w:r>
          </w:p>
        </w:tc>
      </w:tr>
      <w:tr>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Failure mechanism mapping</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Maps exceedance events to credible failure / damage mechanisms drawn from the industry-specific knowledge pack (API 571 for hydrocarbons; equivalent catalogs for power-cycle damage, refractory degradation in metals, recovery-boiler corrosion in pulp &amp; paper, etc.). </w:t>
            </w:r>
            <w:r>
              <w:rPr>
                <w:rFonts w:ascii="Arial" w:hAnsi="Arial"/>
                <w:b/>
                <w:i w:val="0"/>
                <w:color w:val="111111"/>
                <w:sz w:val="20"/>
              </w:rPr>
              <w:t>Establishes the 'Boundary of Automation': standard mechanisms (e.g., uniform corrosion, abrasion, common refractory wear patterns) are auto-flagged, while complex ones (e.g., HIC, NH₄Cl underdeposit, Creep, hydrogen attack on steels) trigger a mandatory engineer review.</w:t>
            </w:r>
            <w:r>
              <w:rPr>
                <w:rFonts w:ascii="Arial" w:hAnsi="Arial"/>
                <w:b w:val="0"/>
                <w:i w:val="0"/>
                <w:color w:val="111111"/>
                <w:sz w:val="20"/>
              </w:rPr>
              <w:t xml:space="preserve"> CAD-linked asset identity and material metadata are used where available to tighten mapping quality.</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Exceedance events, industry mechanism knowledge pack, asset materials database, CAD / engineering metadata</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Failure mechanism map with predicted rate δ</w:t>
            </w:r>
          </w:p>
        </w:tc>
      </w:tr>
      <w:tr>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3.5</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Consistency gate</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Three-way consistency check before physical validation: (1) Material-mechanism consistency — is the predicted mechanism physically plausible given the asset's material of construction and operating environment? (2) Rate-mechanism consistency — is the predicted degradation rate consistent with the predicted failure mechanism? (3) Evidence consistency — if physical validation data is available, does the visual evidence match what the predicted mechanism would produce? From v3.2 onwards, evidence consistency also considers cross-source corroboration across campaign, patrol, and operational-data evidence; v3.3 makes the cross-source correlation engine the explicit feeder for that input. Failures produce an explicit </w:t>
            </w:r>
            <w:r>
              <w:rPr>
                <w:rFonts w:ascii="Arial" w:hAnsi="Arial"/>
                <w:b/>
                <w:i w:val="0"/>
                <w:color w:val="111111"/>
                <w:sz w:val="20"/>
              </w:rPr>
              <w:t>"INCONSISTENT — ENGINEERING REVIEW REQUIRED"</w:t>
            </w:r>
            <w:r>
              <w:rPr>
                <w:rFonts w:ascii="Arial" w:hAnsi="Arial"/>
                <w:b w:val="0"/>
                <w:i w:val="0"/>
                <w:color w:val="111111"/>
                <w:sz w:val="20"/>
              </w:rPr>
              <w:t xml:space="preserve"> flag with the conflicting evidence surfaced to the engineer.</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Failure mechanism map, asset materials database, cross-source correlation output, available Stage 4 evidence</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Consistency-validated failure mechanism map, or INCONSISTENT flag with conflicting evidence</w:t>
            </w:r>
          </w:p>
        </w:tc>
      </w:tr>
      <w:tr>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4</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Physical validation</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Cross-references the failure mechanism map against physical inspection evidence: thickness measurements (UT or equivalent), thermal scans, specialty imagery, and robot-sourced patrol evidence. </w:t>
            </w:r>
            <w:r>
              <w:rPr>
                <w:rFonts w:ascii="Arial" w:hAnsi="Arial"/>
                <w:b/>
                <w:i w:val="0"/>
                <w:color w:val="111111"/>
                <w:sz w:val="20"/>
              </w:rPr>
              <w:t>Validates AI findings against ground-truth NDT measurements to calibrate model confidence.</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3D inspection model, thickness / wear data, thermal scans, specialty imagery, robot thermal / acoustic / gas data</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Validated damage assessment</w:t>
            </w:r>
          </w:p>
        </w:tc>
      </w:tr>
      <w:tr>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5</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Risk quantification &amp; remaining life</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Applies the standard remaining life formula: RL = (tₓᴀᴄᴛ − tₘᴵⁿ) / RR (where RR is the degradation / wear rate). </w:t>
            </w:r>
            <w:r>
              <w:rPr>
                <w:rFonts w:ascii="Arial" w:hAnsi="Arial"/>
                <w:b/>
                <w:i w:val="0"/>
                <w:color w:val="111111"/>
                <w:sz w:val="20"/>
              </w:rPr>
              <w:t>Quantifies risk using the operator's chosen RBI methodology (API 581 in hydrocarbons; ISO 31000-aligned RBI methodologies in other sectors) and consequence categories.</w:t>
            </w:r>
            <w:r>
              <w:rPr>
                <w:rFonts w:ascii="Arial" w:hAnsi="Arial"/>
                <w:b w:val="0"/>
                <w:i w:val="0"/>
                <w:color w:val="111111"/>
                <w:sz w:val="20"/>
              </w:rPr>
              <w:t xml:space="preserve"> Propagates input uncertainty to provide P90 Remaining Life. </w:t>
            </w:r>
            <w:r>
              <w:rPr>
                <w:rFonts w:ascii="Arial" w:hAnsi="Arial"/>
                <w:b/>
                <w:i w:val="0"/>
                <w:color w:val="111111"/>
                <w:sz w:val="20"/>
              </w:rPr>
              <w:t>Extends to inspection interval calculation:</w:t>
            </w:r>
            <w:r>
              <w:rPr>
                <w:rFonts w:ascii="Arial" w:hAnsi="Arial"/>
                <w:b w:val="0"/>
                <w:i w:val="0"/>
                <w:color w:val="111111"/>
                <w:sz w:val="20"/>
              </w:rPr>
              <w:t xml:space="preserve"> recommended inspection interval = f(current PoF, target risk threshold, damage / wear factor, inspection effectiveness grade).</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Validated damage assessment, applicable RBI standards, industry benchmarking data</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Risk score (RBI-aligned), RL estimate with 90% CI, recommended inspection interval</w:t>
            </w:r>
          </w:p>
        </w:tc>
      </w:tr>
      <w:tr>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6</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Corrective action surfacing</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Generates prioritized inspection plans and recommended corrective actions (repair, replace, operational adjustment). All outputs are recommendations to a human operator — Kav AI never writes to the control system or issues work orders autonomously.</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Risk scores, inspection backlog, operator confirmation</w:t>
            </w:r>
          </w:p>
        </w:tc>
        <w:tc>
          <w:tcPr>
            <w:tcW w:w="1872"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Prioritized inspection plan (see schema below)</w:t>
            </w:r>
          </w:p>
        </w:tc>
      </w:tr>
    </w:tbl>
    <w:p>
      <w:pPr>
        <w:spacing w:before="40" w:after="120"/>
      </w:pPr>
    </w:p>
    <w:p>
      <w:pPr>
        <w:spacing w:before="40" w:after="160"/>
        <w:jc w:val="left"/>
      </w:pPr>
      <w:r>
        <w:rPr>
          <w:i/>
          <w:color w:val="666666"/>
          <w:sz w:val="19"/>
        </w:rPr>
        <w:t>Roadmap: the OLW / FMR chain is targeted for availability from Q4 2026, contingent on delivery of the control-system / OPC UA connector — which is not yet implemented. Stages 4 and 5 will additionally require physical inspection data from the Kav AI 3D model, targeted for Q2 2026. v3.3 plans to extend those stages with repeat patrol evidence, fixed-infrastructure continuous coverage, and engineering-context enrichment where present. The chain itself is already entered from inspection evidence, as the next section shows.</w:t>
      </w:r>
    </w:p>
    <w:p>
      <w:pPr>
        <w:pStyle w:val="Heading2"/>
      </w:pPr>
      <w:r>
        <w:rPr>
          <w:b w:val="0"/>
          <w:i w:val="0"/>
        </w:rPr>
        <w:t>The chain by evidence modality</w:t>
      </w:r>
    </w:p>
    <w:p>
      <w:pPr>
        <w:spacing w:before="0" w:after="120"/>
      </w:pPr>
      <w:r>
        <w:rPr>
          <w:b w:val="0"/>
          <w:i w:val="0"/>
        </w:rPr>
        <w:t>The chain is entered by modality. Each evidence stream Kav AI ingests has its own Stage 1 intake, and what differs between streams is not the stages but how far up the chain a finding can be carried on that evidence alone. The ladder below is the order in which the platform adds them; the matrix after it places every stage-by-modality cell in the shared status vocabulary of the Journey section.</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Evidence modality</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Enters</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What it adds to the chain</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Status</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Inspection imagery — RGB and thermal campaign captures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Now (M0–M4)</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Stage 1 intake with camera pose and asset attribution by the tag depicted in the frame (OCR-read, engineer-confirmed; images that carry no tag are listed as </w:t>
            </w:r>
            <w:r>
              <w:rPr>
                <w:rFonts w:ascii="Arial" w:hAnsi="Arial"/>
                <w:b w:val="0"/>
                <w:i/>
                <w:color w:val="111111"/>
                <w:sz w:val="20"/>
              </w:rPr>
              <w:t>nearby</w:t>
            </w:r>
            <w:r>
              <w:rPr>
                <w:rFonts w:ascii="Arial" w:hAnsi="Arial"/>
                <w:b w:val="0"/>
                <w:i w:val="0"/>
                <w:color w:val="111111"/>
                <w:sz w:val="20"/>
              </w:rPr>
              <w:t xml:space="preserve"> context, not attributed); Stage 2 candidate screening of tagged images and model suggestions; Stage 3 findings as evidence-grounded claims — an asset exhibits a condition — mapped to the industry failure-mechanism catalogue (API 571 in hydrocarbons; sector equivalents elsewhere); Stage 4 the engineer's decision (confirm / dismiss / reinstate, with reasoning, append-only); Stage 6 actions that name their finding, the campaign worklist, evidence-bound reports, and the campaign hand-off lifecycle. Every step is also operable by an AI agent acting as the signed-in user.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Alpha (prototype)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Field survey readings — gas (NO₂, HCl, Cl₂, H₂) with ambient temperature, humidity and pressure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 (FR-SCN-03)</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The chain's first operating-condition input: ambient temperature as the ΔT reference for thermal screening at Stage 4; humidity and gas presence as environmental factors for mechanism plausibility at Stage 3; a second, independent source per asset. Readings attach to an asset as </w:t>
            </w:r>
            <w:r>
              <w:rPr>
                <w:rFonts w:ascii="Arial" w:hAnsi="Arial"/>
                <w:b w:val="0"/>
                <w:i/>
                <w:color w:val="111111"/>
                <w:sz w:val="20"/>
              </w:rPr>
              <w:t>nearby context</w:t>
            </w:r>
            <w:r>
              <w:rPr>
                <w:rFonts w:ascii="Arial" w:hAnsi="Arial"/>
                <w:b w:val="0"/>
                <w:i w:val="0"/>
                <w:color w:val="111111"/>
                <w:sz w:val="20"/>
              </w:rPr>
              <w:t xml:space="preserve"> by distance and survey pass — never as attribution — and become evidence only when an engineer cites them on a finding.</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Target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OGI imagery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 (FR-SCN-01)</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Leak evidence at Stage 4. Verification needs OGI footage, which no existing campaign carries.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Process telemetry — control system / historian via OPC UA</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 (FR-INT-01)</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Stage 2 as true Operating-Limit Window checks (API 584 IOWs in hydrocarbons; industry equivalents elsewhere); Stage 3 exceedance-to-mechanism mapping; Stage 3.5 rate consistency; Stage 5 quantified risk. This is the OLW / FMR form of the chain tabulated above.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Thickness measurements — via the IDMS / EAM read direction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spec (FR-INT-03), Q4 connector (FR-INT-04)</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Level A degradation rates and remaining life at Stage 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Target / Q4 Target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Robot patrol evidence (KRSI)</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Q1 2027 (FR-ROB-01)</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Repeat visits of the same modalities; trend across passes at Stages 4–6.</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Q1 2027 Target</w:t>
            </w:r>
          </w:p>
        </w:tc>
      </w:tr>
    </w:tbl>
    <w:p>
      <w:pPr>
        <w:spacing w:before="40" w:after="120"/>
      </w:pP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1560"/>
        <w:gridCol w:w="1560"/>
        <w:gridCol w:w="1560"/>
        <w:gridCol w:w="1560"/>
        <w:gridCol w:w="1560"/>
        <w:gridCol w:w="1560"/>
      </w:tblGrid>
      <w:tr>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Stage</w:t>
            </w:r>
          </w:p>
        </w:tc>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Inspection imagery (RGB, thermal)</w:t>
            </w:r>
          </w:p>
        </w:tc>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Survey readings</w:t>
            </w:r>
          </w:p>
        </w:tc>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OGI</w:t>
            </w:r>
          </w:p>
        </w:tc>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Process telemetry</w:t>
            </w:r>
          </w:p>
        </w:tc>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Thickness (IDMS / EAM)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1 — Ingestion &amp; QC</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Alpha (prototype) — campaign intake, camera pose, OCR attribution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Target — asset link by distance and survey pass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 — OPC UA, ±500 ms alignment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 Q4 Target — read direction</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2 — Classification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Alpha (prototype) — candidate screening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Target — reading-vs-limit screening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 — operating-limit exceedances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 — Damage mechanism mapping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Alpha (prototype) — findings as claims; screening DMR from the asset profile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Target — environmental factors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 — exceedance → mechanism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3.5 — Consistency gate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 — needs rates and process context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 — rate consistency</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4 — Physical validation / decision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Alpha (prototype) — engineer decision log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Target — ambient ΔT reference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 — leak evidence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 — measured thickness</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5 — Risk &amp; remaining life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 — not derivable from imagery alone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6 — Corrective action surfacing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Alpha (prototype) — actions, worklist, reports, hand-off</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inherits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inherits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Target — prioritized inspection plan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inherits</w:t>
            </w:r>
          </w:p>
        </w:tc>
      </w:tr>
    </w:tbl>
    <w:p>
      <w:pPr>
        <w:spacing w:before="40" w:after="120"/>
      </w:pPr>
    </w:p>
    <w:p>
      <w:pPr>
        <w:spacing w:before="0" w:after="120"/>
      </w:pPr>
      <w:r>
        <w:rPr>
          <w:b w:val="0"/>
          <w:i w:val="0"/>
        </w:rPr>
        <w:t xml:space="preserve">Two statements keep this table honest. First, the inspection-imagery column closes the loop with the engineer's recorded priority, not with a quantified risk score: remaining life needs thickness and RBI risk (API 581 or the operator's equivalent methodology) needs consequence data, and neither comes from a photograph, so Stage 5 stays a Q4 commitment for every modality. Second, </w:t>
      </w:r>
      <w:r>
        <w:rPr>
          <w:b/>
          <w:i w:val="0"/>
        </w:rPr>
        <w:t>Alpha (prototype)</w:t>
      </w:r>
      <w:r>
        <w:rPr>
          <w:b w:val="0"/>
          <w:i w:val="0"/>
        </w:rPr>
        <w:t xml:space="preserve"> means what the status key says — a functional prototype on the alpha lineage, not the production platform — and the inspection path has so far been exercised on a small number of findings rather than a full campaign. The requirements that would record each stage of the inspection path are proposed for the next revision (Appendix D, v3.11.g item 5).</w:t>
      </w:r>
    </w:p>
    <w:p>
      <w:pPr>
        <w:pStyle w:val="Heading3"/>
      </w:pPr>
      <w:r>
        <w:rPr>
          <w:b w:val="0"/>
          <w:i w:val="0"/>
        </w:rPr>
        <w:t>Inspection Plan Output Schema (FR-RBI-01) — planned</w:t>
      </w:r>
    </w:p>
    <w:p>
      <w:pPr>
        <w:spacing w:before="0" w:after="120"/>
      </w:pPr>
      <w:r>
        <w:rPr>
          <w:b w:val="0"/>
          <w:i w:val="0"/>
        </w:rPr>
        <w:t>The OLW / FMR chain is not designed to terminate at risk score generation. Stage 6 will produce an inspection plan — a prioritized, time-bound schedule. The minimum planned schema for a Kav AI inspection plan record:</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Field</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Description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Asset ID, asset class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Facility asset identifier and equipment type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Current risk score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PoF × CoF per the operator's RBI methodology</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Recommended inspection date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Driven by the applicable RBI inspection-interval logic</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Recommended technique &amp; coverage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Inspection effectiveness grade per the operator's standard</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Justification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Failure mechanism, operating-limit exceedance, or thickness / wear trend that drove the recommendation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Confidence level</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Data provenance (Level A/B/C degradation rate)</w:t>
            </w:r>
          </w:p>
        </w:tc>
      </w:tr>
    </w:tbl>
    <w:p>
      <w:pPr>
        <w:spacing w:before="40" w:after="120"/>
      </w:pPr>
    </w:p>
    <w:p>
      <w:pPr>
        <w:spacing w:before="40" w:after="160"/>
        <w:jc w:val="left"/>
      </w:pPr>
      <w:r>
        <w:rPr>
          <w:i/>
          <w:color w:val="666666"/>
          <w:sz w:val="19"/>
        </w:rPr>
        <w:t>This schema is to be agreed with the reference customer before the planned Q3 delivery and will govern the IDMS / EAM integration write interface.</w:t>
      </w:r>
    </w:p>
    <w:p>
      <w:pPr>
        <w:pStyle w:val="Heading3"/>
      </w:pPr>
      <w:r>
        <w:rPr>
          <w:b w:val="0"/>
          <w:i w:val="0"/>
        </w:rPr>
        <w:t>Equipment Class Boundary of Automation (FR-RBI-02) — planned</w:t>
      </w:r>
    </w:p>
    <w:p>
      <w:pPr>
        <w:spacing w:before="0" w:after="120"/>
      </w:pPr>
      <w:r>
        <w:rPr>
          <w:b w:val="0"/>
          <w:i w:val="0"/>
        </w:rPr>
        <w:t>The Tier 1 / Tier 2 automation boundary will apply across equipment classes as well as failure mechanisms. Scope for v1 is illustrative — the exact boundary will be configured per industry during onboarding (e.g., a steel facility would explicitly include refractory-lined equipment and exclude inline-pipeline assets):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Equipment class</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Kav AI scope</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Rationale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Pressure vessels &amp; heat exchangers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Full RBI support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Primary M0/M1 asset class; most common operating-limit-linked equipment across industries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Piping circuits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Full RBI support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To be covered by the planned OPC UA control-system connector; thickness-monitored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Refractory-lined equipment (furnaces, kilns, ladles, etc.)</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Industry-specific knowledge pack required (validated for metals, cement, glass)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Hot-face degradation reasoning differs from metallic-wall corrosion</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Pressure Relief Devices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Flag only — engineer required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PRD-specific methodology; different consequence logic</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Atmospheric Storage Tanks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Flag only — engineer required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Tank floor inspection has unique methodology (e.g., API 653 for hydrocarbons; equivalent in other sectors)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Pipelines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Out of scope — v1</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Requires inline inspection data (ILI); different data model</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Rotating equipment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Out of scope — v1</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Vibration-based RBI; different physics</w:t>
            </w:r>
          </w:p>
        </w:tc>
      </w:tr>
    </w:tbl>
    <w:p>
      <w:pPr>
        <w:spacing w:before="40" w:after="120"/>
      </w:pP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Equipment scope communication</w:t>
            </w:r>
          </w:p>
          <w:p>
            <w:pPr>
              <w:spacing w:before="0" w:after="0"/>
            </w:pPr>
            <w:r>
              <w:rPr>
                <w:rFonts w:ascii="Arial" w:hAnsi="Arial"/>
                <w:b w:val="0"/>
                <w:i w:val="0"/>
                <w:color w:val="222222"/>
                <w:sz w:val="20"/>
              </w:rPr>
              <w:t>This planned boundary must be communicated proactively to customers in the pilot framework (Appendix G). An operator who assumes Kav AI covers their tank farm or rotating-equipment fleet and discovers it doesn't during a pilot will not proceed.</w:t>
            </w:r>
          </w:p>
        </w:tc>
      </w:tr>
    </w:tbl>
    <w:p>
      <w:pPr>
        <w:spacing w:before="40" w:after="120"/>
      </w:pPr>
    </w:p>
    <w:p>
      <w:pPr>
        <w:pStyle w:val="Heading2"/>
      </w:pPr>
      <w:r>
        <w:rPr>
          <w:b w:val="0"/>
          <w:i w:val="0"/>
        </w:rPr>
        <w:t>Analytical Rigor — Confidence and Provenance (planned)</w:t>
      </w:r>
    </w:p>
    <w:p>
      <w:pPr>
        <w:spacing w:before="0" w:after="120"/>
      </w:pPr>
      <w:r>
        <w:rPr>
          <w:b w:val="0"/>
          <w:i w:val="0"/>
        </w:rPr>
        <w:t>To satisfy enterprise integrity / reliability standards, the planned analytical chain will not be treated as a "black box." Every safety-critical output will carry clear provenance and uncertainty bounds.</w:t>
      </w:r>
    </w:p>
    <w:p>
      <w:pPr>
        <w:pStyle w:val="Heading3"/>
      </w:pPr>
      <w:r>
        <w:rPr>
          <w:b w:val="0"/>
          <w:i w:val="0"/>
        </w:rPr>
        <w:t>Degradation / Wear Rate Provenance</w:t>
      </w:r>
    </w:p>
    <w:p>
      <w:pPr>
        <w:spacing w:before="0" w:after="120"/>
      </w:pPr>
      <w:r>
        <w:rPr>
          <w:b w:val="0"/>
          <w:i w:val="0"/>
        </w:rPr>
        <w:t>The platform will apply a weighted hierarchy to degradation-rate inputs, favoring measured data over theoretical models:</w:t>
      </w:r>
    </w:p>
    <w:p>
      <w:pPr>
        <w:spacing w:before="0" w:after="60"/>
        <w:ind w:left="504" w:hanging="288"/>
      </w:pPr>
      <w:r>
        <w:rPr>
          <w:b w:val="0"/>
        </w:rPr>
        <w:t xml:space="preserve">1.  </w:t>
      </w:r>
      <w:r>
        <w:rPr>
          <w:b/>
          <w:i w:val="0"/>
        </w:rPr>
        <w:t>Level A (Measured)</w:t>
      </w:r>
      <w:r>
        <w:rPr>
          <w:b w:val="0"/>
          <w:i w:val="0"/>
        </w:rPr>
        <w:t>: Derived from localized thickness / wear trend data at specific monitoring locations (CMLs in hydrocarbons; equivalent inspection points in other industries).</w:t>
      </w:r>
    </w:p>
    <w:p>
      <w:pPr>
        <w:spacing w:before="0" w:after="60"/>
        <w:ind w:left="504" w:hanging="288"/>
      </w:pPr>
      <w:r>
        <w:rPr>
          <w:b w:val="0"/>
        </w:rPr>
        <w:t xml:space="preserve">2.  </w:t>
      </w:r>
      <w:r>
        <w:rPr>
          <w:b/>
          <w:i w:val="0"/>
        </w:rPr>
        <w:t>Level B (Modelled)</w:t>
      </w:r>
      <w:r>
        <w:rPr>
          <w:b w:val="0"/>
          <w:i w:val="0"/>
        </w:rPr>
        <w:t>: Derived from process-specific degradation models (e.g., chemistry-driven corrosion, abrasion velocity, thermal-cycle fatigue), if measured data is stale (&gt;12 months) or unavailable.</w:t>
      </w:r>
    </w:p>
    <w:p>
      <w:pPr>
        <w:spacing w:before="0" w:after="60"/>
        <w:ind w:left="504" w:hanging="288"/>
      </w:pPr>
      <w:r>
        <w:rPr>
          <w:b w:val="0"/>
        </w:rPr>
        <w:t xml:space="preserve">3.  </w:t>
      </w:r>
      <w:r>
        <w:rPr>
          <w:b/>
          <w:i w:val="0"/>
        </w:rPr>
        <w:t>Level C (Generic)</w:t>
      </w:r>
      <w:r>
        <w:rPr>
          <w:b w:val="0"/>
          <w:i w:val="0"/>
        </w:rPr>
        <w:t>: Derived from the industry-specific knowledge pack for standard materials in nominal service.</w:t>
      </w:r>
    </w:p>
    <w:p>
      <w:pPr>
        <w:pStyle w:val="Heading3"/>
      </w:pPr>
      <w:r>
        <w:rPr>
          <w:b w:val="0"/>
          <w:i w:val="0"/>
        </w:rPr>
        <w:t>Uncertainty Quantification (UQ)</w:t>
      </w:r>
    </w:p>
    <w:p>
      <w:pPr>
        <w:spacing w:before="0" w:after="120"/>
      </w:pPr>
      <w:r>
        <w:rPr>
          <w:b w:val="0"/>
          <w:i w:val="0"/>
        </w:rPr>
        <w:t>Remaining Life (RL) estimates will not be presented as single-point figures. Kav AI is planned to propagate uncertainty across the entire analytical chain:</w:t>
      </w:r>
    </w:p>
    <w:p>
      <w:pPr>
        <w:spacing w:before="0" w:after="60"/>
        <w:ind w:left="504" w:hanging="288"/>
      </w:pPr>
      <w:r>
        <w:rPr>
          <w:b w:val="0"/>
        </w:rPr>
        <w:t xml:space="preserve">•  </w:t>
      </w:r>
      <w:r>
        <w:rPr>
          <w:b/>
          <w:i w:val="0"/>
        </w:rPr>
        <w:t>Measurement Tolerance</w:t>
      </w:r>
      <w:r>
        <w:rPr>
          <w:b w:val="0"/>
          <w:i w:val="0"/>
        </w:rPr>
        <w:t>: Thickness / wear measurements (</w:t>
      </w:r>
      <w:r>
        <w:rPr>
          <w:b/>
          <w:i w:val="0"/>
        </w:rPr>
        <w:t>tₓᴀᴄᴛ</w:t>
      </w:r>
      <w:r>
        <w:rPr>
          <w:b w:val="0"/>
          <w:i w:val="0"/>
        </w:rPr>
        <w:t>) carry a tolerance based on technique and surface condition (e.g., ±0.1–0.5 mm for UT).</w:t>
      </w:r>
    </w:p>
    <w:p>
      <w:pPr>
        <w:spacing w:before="0" w:after="60"/>
        <w:ind w:left="504" w:hanging="288"/>
      </w:pPr>
      <w:r>
        <w:rPr>
          <w:b w:val="0"/>
        </w:rPr>
        <w:t xml:space="preserve">•  </w:t>
      </w:r>
      <w:r>
        <w:rPr>
          <w:b/>
          <w:i w:val="0"/>
        </w:rPr>
        <w:t>Engineering Code Variance</w:t>
      </w:r>
      <w:r>
        <w:rPr>
          <w:b w:val="0"/>
          <w:i w:val="0"/>
        </w:rPr>
        <w:t>: Minimum thickness (</w:t>
      </w:r>
      <w:r>
        <w:rPr>
          <w:b/>
          <w:i w:val="0"/>
        </w:rPr>
        <w:t>tₘᴵⁿ</w:t>
      </w:r>
      <w:r>
        <w:rPr>
          <w:b w:val="0"/>
          <w:i w:val="0"/>
        </w:rPr>
        <w:t>) is calculated per the applicable design / inspection code (e.g., ASME B31.3 / API 570 for hydrocarbons; EN-equivalent or industry-specific codes elsewhere).</w:t>
      </w:r>
    </w:p>
    <w:p>
      <w:pPr>
        <w:spacing w:before="0" w:after="60"/>
        <w:ind w:left="504" w:hanging="288"/>
      </w:pPr>
      <w:r>
        <w:rPr>
          <w:b w:val="0"/>
        </w:rPr>
        <w:t xml:space="preserve">•  </w:t>
      </w:r>
      <w:r>
        <w:rPr>
          <w:b/>
          <w:i w:val="0"/>
        </w:rPr>
        <w:t>Model Variance</w:t>
      </w:r>
      <w:r>
        <w:rPr>
          <w:b w:val="0"/>
          <w:i w:val="0"/>
        </w:rPr>
        <w:t>: Degradation Rate (</w:t>
      </w:r>
      <w:r>
        <w:rPr>
          <w:b/>
          <w:i w:val="0"/>
        </w:rPr>
        <w:t>RR</w:t>
      </w:r>
      <w:r>
        <w:rPr>
          <w:b w:val="0"/>
          <w:i w:val="0"/>
        </w:rPr>
        <w:t>) uncertainty varies by provenance (Level A/B/C).</w:t>
      </w:r>
    </w:p>
    <w:p>
      <w:pPr>
        <w:spacing w:before="0" w:after="60"/>
        <w:ind w:left="504" w:hanging="288"/>
      </w:pPr>
      <w:r>
        <w:rPr>
          <w:b w:val="0"/>
        </w:rPr>
        <w:t xml:space="preserve">•  </w:t>
      </w:r>
      <w:r>
        <w:rPr>
          <w:b/>
          <w:i w:val="0"/>
        </w:rPr>
        <w:t>Output</w:t>
      </w:r>
      <w:r>
        <w:rPr>
          <w:b w:val="0"/>
          <w:i w:val="0"/>
        </w:rPr>
        <w:t xml:space="preserve">: </w:t>
      </w:r>
      <w:r>
        <w:rPr>
          <w:b/>
          <w:i w:val="0"/>
        </w:rPr>
        <w:t>P90 Remaining Life</w:t>
      </w:r>
      <w:r>
        <w:rPr>
          <w:b w:val="0"/>
          <w:i w:val="0"/>
        </w:rPr>
        <w:t xml:space="preserve"> is the probabilistic interval used for inspection interval determination.</w:t>
      </w:r>
    </w:p>
    <w:p>
      <w:pPr>
        <w:pStyle w:val="Heading3"/>
      </w:pPr>
      <w:r>
        <w:rPr>
          <w:b w:val="0"/>
          <w:i w:val="0"/>
        </w:rPr>
        <w:t>Timestamp Integrity and Windowing</w:t>
      </w:r>
    </w:p>
    <w:p>
      <w:pPr>
        <w:spacing w:before="0" w:after="120"/>
      </w:pPr>
      <w:r>
        <w:rPr>
          <w:b w:val="0"/>
          <w:i w:val="0"/>
        </w:rPr>
        <w:t xml:space="preserve">Correlation across heterogeneous sources (control-system scan vs. event-driven historians) will be governed by a </w:t>
      </w:r>
      <w:r>
        <w:rPr>
          <w:b/>
          <w:i w:val="0"/>
        </w:rPr>
        <w:t>±500ms synchronization window</w:t>
      </w:r>
      <w:r>
        <w:rPr>
          <w:b w:val="0"/>
          <w:i w:val="0"/>
        </w:rPr>
        <w:t>.</w:t>
      </w:r>
    </w:p>
    <w:p>
      <w:pPr>
        <w:spacing w:before="0" w:after="60"/>
        <w:ind w:left="504" w:hanging="288"/>
      </w:pPr>
      <w:r>
        <w:rPr>
          <w:b w:val="0"/>
        </w:rPr>
        <w:t xml:space="preserve">•  </w:t>
      </w:r>
      <w:r>
        <w:rPr>
          <w:b w:val="0"/>
          <w:i w:val="0"/>
        </w:rPr>
        <w:t>Values exceeding this window or sourced from interpolated historian gaps will be flagged as "Stale/High Variance" and reduced in weight for Stage 3-5 reasoning.</w:t>
      </w:r>
    </w:p>
    <w:p>
      <w:pPr>
        <w:spacing w:before="0" w:after="60"/>
        <w:ind w:left="504" w:hanging="288"/>
      </w:pPr>
      <w:r>
        <w:rPr>
          <w:b w:val="0"/>
        </w:rPr>
        <w:t xml:space="preserve">•  </w:t>
      </w:r>
      <w:r>
        <w:rPr>
          <w:b w:val="0"/>
          <w:i w:val="0"/>
        </w:rPr>
        <w:t>Kav AI is planned to support NTP/PTP-synchronized sources to maintain sub-second alignment in millisecond-sensitive environments.</w:t>
      </w:r>
    </w:p>
    <w:p>
      <w:pPr>
        <w:pStyle w:val="Heading3"/>
      </w:pPr>
      <w:r>
        <w:rPr>
          <w:b w:val="0"/>
          <w:i w:val="0"/>
        </w:rPr>
        <w:t>Boundary of Automation — Expert-in-the-Loop</w:t>
      </w:r>
    </w:p>
    <w:p>
      <w:pPr>
        <w:spacing w:before="0" w:after="120"/>
      </w:pPr>
      <w:r>
        <w:rPr>
          <w:b w:val="0"/>
          <w:i w:val="0"/>
        </w:rPr>
        <w:t>Not all failure mechanisms are equally detectable via process telemetry. Kav AI will maintain a strict boundary:</w:t>
      </w:r>
    </w:p>
    <w:p>
      <w:pPr>
        <w:spacing w:before="0" w:after="60"/>
        <w:ind w:left="504" w:hanging="288"/>
      </w:pPr>
      <w:r>
        <w:rPr>
          <w:b w:val="0"/>
        </w:rPr>
        <w:t xml:space="preserve">•  </w:t>
      </w:r>
      <w:r>
        <w:rPr>
          <w:b/>
          <w:i w:val="0"/>
        </w:rPr>
        <w:t>Tier 1 (Automated)</w:t>
      </w:r>
      <w:r>
        <w:rPr>
          <w:b w:val="0"/>
          <w:i w:val="0"/>
        </w:rPr>
        <w:t>: Mechanisms with high process correlation (e.g., insulation-related thermal anomalies, refractory hot-spots, abrasion at known transfer points, chemistry-driven corrosion).</w:t>
      </w:r>
    </w:p>
    <w:p>
      <w:pPr>
        <w:spacing w:before="0" w:after="60"/>
        <w:ind w:left="504" w:hanging="288"/>
      </w:pPr>
      <w:r>
        <w:rPr>
          <w:b w:val="0"/>
        </w:rPr>
        <w:t xml:space="preserve">•  </w:t>
      </w:r>
      <w:r>
        <w:rPr>
          <w:b/>
          <w:i w:val="0"/>
        </w:rPr>
        <w:t>Tier 2 (Expert Required)</w:t>
      </w:r>
      <w:r>
        <w:rPr>
          <w:b w:val="0"/>
          <w:i w:val="0"/>
        </w:rPr>
        <w:t>: Mechanisms requiring thermodynamic simulation or historical thermal-fatigue analysis (e.g., NH₄Cl underdeposit, Creep, HIC, complex hydrogen-related degradation in steels). These are flagged as "Credible" by the AI but require manual engineer validation before inclusion in the Risk Quantification stage.</w:t>
      </w:r>
    </w:p>
    <w:p>
      <w:pPr>
        <w:pStyle w:val="Heading3"/>
      </w:pPr>
      <w:r>
        <w:rPr>
          <w:b w:val="0"/>
          <w:i w:val="0"/>
        </w:rPr>
        <w:t>Monitoring Location Lifecycle Management</w:t>
      </w:r>
    </w:p>
    <w:p>
      <w:pPr>
        <w:spacing w:before="0" w:after="120"/>
      </w:pPr>
      <w:r>
        <w:rPr>
          <w:b w:val="0"/>
          <w:i w:val="0"/>
        </w:rPr>
        <w:t>The 3D facility model is planned as the spatial system of record for inspection / monitoring locations (CMLs and PILs in hydrocarbons; equivalent inspection points in other sectors).</w:t>
      </w:r>
    </w:p>
    <w:p>
      <w:pPr>
        <w:spacing w:before="0" w:after="60"/>
        <w:ind w:left="504" w:hanging="288"/>
      </w:pPr>
      <w:r>
        <w:rPr>
          <w:b w:val="0"/>
        </w:rPr>
        <w:t xml:space="preserve">•  </w:t>
      </w:r>
      <w:r>
        <w:rPr>
          <w:b/>
          <w:i w:val="0"/>
        </w:rPr>
        <w:t>Registration</w:t>
      </w:r>
      <w:r>
        <w:rPr>
          <w:b w:val="0"/>
          <w:i w:val="0"/>
        </w:rPr>
        <w:t>: Operators will be able to register and name monitoring locations in 3D space with sub-centimeter precision.</w:t>
      </w:r>
    </w:p>
    <w:p>
      <w:pPr>
        <w:spacing w:before="0" w:after="60"/>
        <w:ind w:left="504" w:hanging="288"/>
      </w:pPr>
      <w:r>
        <w:rPr>
          <w:b w:val="0"/>
        </w:rPr>
        <w:t xml:space="preserve">•  </w:t>
      </w:r>
      <w:r>
        <w:rPr>
          <w:b/>
          <w:i w:val="0"/>
        </w:rPr>
        <w:t>Traceable History</w:t>
      </w:r>
      <w:r>
        <w:rPr>
          <w:b w:val="0"/>
          <w:i w:val="0"/>
        </w:rPr>
        <w:t>: Each location will maintain an immutable, timestamped history of measurements, including inspector ID and instrument calibration references.</w:t>
      </w:r>
    </w:p>
    <w:p>
      <w:pPr>
        <w:spacing w:before="0" w:after="60"/>
        <w:ind w:left="504" w:hanging="288"/>
      </w:pPr>
      <w:r>
        <w:rPr>
          <w:b w:val="0"/>
        </w:rPr>
        <w:t xml:space="preserve">•  </w:t>
      </w:r>
      <w:r>
        <w:rPr>
          <w:b/>
          <w:i w:val="0"/>
        </w:rPr>
        <w:t>Coverage Reporting</w:t>
      </w:r>
      <w:r>
        <w:rPr>
          <w:b w:val="0"/>
          <w:i w:val="0"/>
        </w:rPr>
        <w:t>: The platform will generate compliance reports identifying inspected vs. overdue locations per the active inspection plan.</w:t>
      </w:r>
    </w:p>
    <w:p>
      <w:pPr>
        <w:spacing w:before="0" w:after="60"/>
        <w:ind w:left="504" w:hanging="288"/>
      </w:pPr>
      <w:r>
        <w:rPr>
          <w:b w:val="0"/>
        </w:rPr>
        <w:t xml:space="preserve">•  </w:t>
      </w:r>
      <w:r>
        <w:rPr>
          <w:b/>
          <w:i w:val="0"/>
        </w:rPr>
        <w:t>Visual Context</w:t>
      </w:r>
      <w:r>
        <w:rPr>
          <w:b w:val="0"/>
          <w:i w:val="0"/>
        </w:rPr>
        <w:t>: Click any location to view its historical trend, operating-limit exceedance logs, and the resulting failure mechanism predictions.</w:t>
      </w:r>
    </w:p>
    <w:p>
      <w:pPr>
        <w:spacing w:before="0" w:after="60"/>
        <w:ind w:left="504" w:hanging="288"/>
      </w:pPr>
      <w:r>
        <w:rPr>
          <w:b w:val="0"/>
        </w:rPr>
        <w:t xml:space="preserve">•  </w:t>
      </w:r>
      <w:r>
        <w:rPr>
          <w:b/>
          <w:i w:val="0"/>
        </w:rPr>
        <w:t>Engineering Context</w:t>
      </w:r>
      <w:r>
        <w:rPr>
          <w:b w:val="0"/>
          <w:i w:val="0"/>
        </w:rPr>
        <w:t>: Where CAD / P&amp;ID mappings are available, the same view will also carry design tag, line / equipment number, and recent engineering change history.</w:t>
      </w:r>
    </w:p>
    <w:p>
      <w:pPr>
        <w:pStyle w:val="Heading2"/>
      </w:pPr>
      <w:r>
        <w:rPr>
          <w:b w:val="0"/>
          <w:i w:val="0"/>
        </w:rPr>
        <w:t>Risk Quantification Methodology — RBI Alignment (planned)</w:t>
      </w:r>
    </w:p>
    <w:p>
      <w:pPr>
        <w:spacing w:before="0" w:after="120"/>
      </w:pPr>
      <w:r>
        <w:rPr>
          <w:b w:val="0"/>
          <w:i w:val="0"/>
        </w:rPr>
        <w:t xml:space="preserve">Kav AI's planned risk engine will be structured for alignment with the operator's chosen Risk-Based Inspection (RBI) methodology — for example, </w:t>
      </w:r>
      <w:r>
        <w:rPr>
          <w:b/>
          <w:i w:val="0"/>
        </w:rPr>
        <w:t>API 580/581</w:t>
      </w:r>
      <w:r>
        <w:rPr>
          <w:b w:val="0"/>
          <w:i w:val="0"/>
        </w:rPr>
        <w:t xml:space="preserve"> in hydrocarbons, ISO 31000-aligned methodologies in other sectors, or sector-specific equivalents in power and metals — to ensure regulatory and insurance defensibility.</w:t>
      </w:r>
    </w:p>
    <w:p>
      <w:pPr>
        <w:pStyle w:val="Heading3"/>
      </w:pPr>
      <w:r>
        <w:rPr>
          <w:b w:val="0"/>
          <w:i w:val="0"/>
        </w:rPr>
        <w:t>Probability of Failure (PoF)</w:t>
      </w:r>
    </w:p>
    <w:p>
      <w:pPr>
        <w:spacing w:before="0" w:after="120"/>
      </w:pPr>
      <w:r>
        <w:rPr>
          <w:b w:val="0"/>
          <w:i w:val="0"/>
        </w:rPr>
        <w:t>The platform will calculate PoF using a Damage / Wear Factor approach consistent with the operator's RBI methodology. This is planned to include:</w:t>
      </w:r>
    </w:p>
    <w:p>
      <w:pPr>
        <w:spacing w:before="0" w:after="60"/>
        <w:ind w:left="504" w:hanging="288"/>
      </w:pPr>
      <w:r>
        <w:rPr>
          <w:b w:val="0"/>
        </w:rPr>
        <w:t xml:space="preserve">•  </w:t>
      </w:r>
      <w:r>
        <w:rPr>
          <w:b/>
          <w:i w:val="0"/>
        </w:rPr>
        <w:t>Base Damage / Wear Factor</w:t>
      </w:r>
      <w:r>
        <w:rPr>
          <w:b w:val="0"/>
          <w:i w:val="0"/>
        </w:rPr>
        <w:t>: Derived from the active failure mechanism (industry knowledge pack) and predicted degradation.</w:t>
      </w:r>
    </w:p>
    <w:p>
      <w:pPr>
        <w:spacing w:before="0" w:after="60"/>
        <w:ind w:left="504" w:hanging="288"/>
      </w:pPr>
      <w:r>
        <w:rPr>
          <w:b w:val="0"/>
        </w:rPr>
        <w:t xml:space="preserve">•  </w:t>
      </w:r>
      <w:r>
        <w:rPr>
          <w:b/>
          <w:i w:val="0"/>
        </w:rPr>
        <w:t>Inspection Effectiveness</w:t>
      </w:r>
      <w:r>
        <w:rPr>
          <w:b w:val="0"/>
          <w:i w:val="0"/>
        </w:rPr>
        <w:t>: Adjustments based on the number and quality of past NDT / inspection events.</w:t>
      </w:r>
    </w:p>
    <w:p>
      <w:pPr>
        <w:spacing w:before="0" w:after="60"/>
        <w:ind w:left="504" w:hanging="288"/>
      </w:pPr>
      <w:r>
        <w:rPr>
          <w:b w:val="0"/>
        </w:rPr>
        <w:t xml:space="preserve">•  </w:t>
      </w:r>
      <w:r>
        <w:rPr>
          <w:b/>
          <w:i w:val="0"/>
        </w:rPr>
        <w:t>Management System Factor</w:t>
      </w:r>
      <w:r>
        <w:rPr>
          <w:b w:val="0"/>
          <w:i w:val="0"/>
        </w:rPr>
        <w:t>: Facility-specific multiplier for operational discipline.</w:t>
      </w:r>
    </w:p>
    <w:p>
      <w:pPr>
        <w:pStyle w:val="Heading3"/>
      </w:pPr>
      <w:r>
        <w:rPr>
          <w:b w:val="0"/>
          <w:i w:val="0"/>
        </w:rPr>
        <w:t>Consequence of Failure (CoF)</w:t>
      </w:r>
    </w:p>
    <w:p>
      <w:pPr>
        <w:spacing w:before="0" w:after="120"/>
      </w:pPr>
      <w:r>
        <w:rPr>
          <w:b w:val="0"/>
          <w:i w:val="0"/>
        </w:rPr>
        <w:t>CoF will be categorized into the streams relevant to the operator's industry. Typical streams across heavy industry:</w:t>
      </w:r>
    </w:p>
    <w:p>
      <w:pPr>
        <w:spacing w:before="0" w:after="60"/>
        <w:ind w:left="504" w:hanging="288"/>
      </w:pPr>
      <w:r>
        <w:rPr>
          <w:b w:val="0"/>
        </w:rPr>
        <w:t xml:space="preserve">1.  </w:t>
      </w:r>
      <w:r>
        <w:rPr>
          <w:b/>
          <w:i w:val="0"/>
        </w:rPr>
        <w:t>Safety / personnel</w:t>
      </w:r>
      <w:r>
        <w:rPr>
          <w:b w:val="0"/>
          <w:i w:val="0"/>
        </w:rPr>
        <w:t>: Burn, blast, asphyxiation, falling-object exposure.</w:t>
      </w:r>
    </w:p>
    <w:p>
      <w:pPr>
        <w:spacing w:before="0" w:after="60"/>
        <w:ind w:left="504" w:hanging="288"/>
      </w:pPr>
      <w:r>
        <w:rPr>
          <w:b w:val="0"/>
        </w:rPr>
        <w:t xml:space="preserve">2.  </w:t>
      </w:r>
      <w:r>
        <w:rPr>
          <w:b/>
          <w:i w:val="0"/>
        </w:rPr>
        <w:t>Process release</w:t>
      </w:r>
      <w:r>
        <w:rPr>
          <w:b w:val="0"/>
          <w:i w:val="0"/>
        </w:rPr>
        <w:t>: Fire / explosion, toxic / hot / molten release as applicable.</w:t>
      </w:r>
    </w:p>
    <w:p>
      <w:pPr>
        <w:spacing w:before="0" w:after="60"/>
        <w:ind w:left="504" w:hanging="288"/>
      </w:pPr>
      <w:r>
        <w:rPr>
          <w:b w:val="0"/>
        </w:rPr>
        <w:t xml:space="preserve">3.  </w:t>
      </w:r>
      <w:r>
        <w:rPr>
          <w:b/>
          <w:i w:val="0"/>
        </w:rPr>
        <w:t>Environmental</w:t>
      </w:r>
      <w:r>
        <w:rPr>
          <w:b w:val="0"/>
          <w:i w:val="0"/>
        </w:rPr>
        <w:t>: Volume- or mass-based release into soil, water, or air.</w:t>
      </w:r>
    </w:p>
    <w:p>
      <w:pPr>
        <w:spacing w:before="0" w:after="60"/>
        <w:ind w:left="504" w:hanging="288"/>
      </w:pPr>
      <w:r>
        <w:rPr>
          <w:b w:val="0"/>
        </w:rPr>
        <w:t xml:space="preserve">4.  </w:t>
      </w:r>
      <w:r>
        <w:rPr>
          <w:b/>
          <w:i w:val="0"/>
        </w:rPr>
        <w:t>Financial</w:t>
      </w:r>
      <w:r>
        <w:rPr>
          <w:b w:val="0"/>
          <w:i w:val="0"/>
        </w:rPr>
        <w:t>: Production loss and repair costs, benchmarked against the operator's chosen reliability benchmarking framework.</w:t>
      </w:r>
    </w:p>
    <w:p>
      <w:pPr>
        <w:pStyle w:val="Heading3"/>
      </w:pPr>
      <w:r>
        <w:rPr>
          <w:b w:val="0"/>
          <w:i w:val="0"/>
        </w:rPr>
        <w:t>Ranked-to-Calibrated Transition</w:t>
      </w:r>
    </w:p>
    <w:p>
      <w:pPr>
        <w:spacing w:before="0" w:after="120"/>
      </w:pPr>
      <w:r>
        <w:rPr>
          <w:b w:val="0"/>
          <w:i w:val="0"/>
        </w:rPr>
        <w:t xml:space="preserve">During the planned initial deployment and pilot phase (90 days), risk outputs will be presented as </w:t>
      </w:r>
      <w:r>
        <w:rPr>
          <w:b/>
          <w:i w:val="0"/>
        </w:rPr>
        <w:t>Relative Risk Rankings</w:t>
      </w:r>
      <w:r>
        <w:rPr>
          <w:b w:val="0"/>
          <w:i w:val="0"/>
        </w:rPr>
        <w:t xml:space="preserve"> for prioritization. Full </w:t>
      </w:r>
      <w:r>
        <w:rPr>
          <w:b/>
          <w:i w:val="0"/>
        </w:rPr>
        <w:t>Calibrated Probability of Failure</w:t>
      </w:r>
      <w:r>
        <w:rPr>
          <w:b w:val="0"/>
          <w:i w:val="0"/>
        </w:rPr>
        <w:t xml:space="preserve"> (mapping scores to physical failure frequencies) will be achieved after the first ground-truth inspection cycle is ingested and the model is site-validated. The transition will be triggered by a minimum dataset: a defined number of measurements at registered monitoring locations with known inspection history, agreed with the operator during pilot onboarding.</w:t>
      </w:r>
    </w:p>
    <w:p>
      <w:pPr>
        <w:pStyle w:val="Heading1"/>
      </w:pPr>
      <w:r>
        <w:rPr>
          <w:b w:val="0"/>
          <w:i w:val="0"/>
        </w:rPr>
        <w:t>AI Safety — Hallucination Mitigation &amp; Grounding</w:t>
      </w:r>
    </w:p>
    <w:p>
      <w:pPr>
        <w:spacing w:before="0" w:after="120"/>
      </w:pPr>
      <w:r>
        <w:rPr>
          <w:b w:val="0"/>
          <w:i w:val="0"/>
        </w:rPr>
        <w:t xml:space="preserve">Given the safety-critical nature of asset integrity, the Kav AI analytical chain (operating-limit / failure-mechanism) includes specific safeguards to mitigate AI hallucinations and ensure engineering-grade reliability. v3.2 kept the v2.9 safety model intact and extended it to handle cross-source correlation, robot patrol evidence, and high-regulation operating constraints without weakening the original guardrails. v3.3 keeps these safeguards unchanged and clarifies their priority order: </w:t>
      </w:r>
      <w:r>
        <w:rPr>
          <w:b/>
          <w:i w:val="0"/>
        </w:rPr>
        <w:t>Filter Skill &gt; Stage 3.5 consistency gate &gt; cross-source correlation uplift</w:t>
      </w:r>
      <w:r>
        <w:rPr>
          <w:b w:val="0"/>
          <w:i w:val="0"/>
        </w:rPr>
        <w:t>. A multi-source confirmed finding can shorten the operator queue, but it cannot promote a Filter-rejected mechanism or override an INCONSISTENT flag.</w:t>
      </w:r>
    </w:p>
    <w:p>
      <w:pPr>
        <w:pStyle w:val="Heading2"/>
      </w:pPr>
      <w:r>
        <w:rPr>
          <w:b w:val="0"/>
          <w:i w:val="0"/>
        </w:rPr>
        <w:t>Grounding via Deterministic "Filter Skills"</w:t>
      </w:r>
    </w:p>
    <w:p>
      <w:pPr>
        <w:spacing w:before="0" w:after="120"/>
      </w:pPr>
      <w:r>
        <w:rPr>
          <w:b w:val="0"/>
          <w:i w:val="0"/>
        </w:rPr>
        <w:t>To eliminate LLM hallucinations in the IOW/DMR chain, every AI output is passed through a deterministic validation layer before it reaches the operator:</w:t>
      </w:r>
    </w:p>
    <w:p>
      <w:pPr>
        <w:spacing w:before="0" w:after="60"/>
        <w:ind w:left="504" w:hanging="288"/>
      </w:pPr>
      <w:r>
        <w:rPr>
          <w:b w:val="0"/>
        </w:rPr>
        <w:t xml:space="preserve">•  </w:t>
      </w:r>
      <w:r>
        <w:rPr>
          <w:b/>
          <w:i w:val="0"/>
        </w:rPr>
        <w:t>Susceptibility Filtering</w:t>
      </w:r>
      <w:r>
        <w:rPr>
          <w:b w:val="0"/>
          <w:i w:val="0"/>
        </w:rPr>
        <w:t>: Before a failure mechanism (Stage 3) is presented to the user, a "Filter Skill" checks the asset material and process conditions against a hard-coded susceptibility matrix from the industry-specific knowledge pack (e.g., API 571 for hydrocarbons; equivalent catalogs for power-cycle, refractory, abrasion, and other industrial degradation modes).</w:t>
      </w:r>
    </w:p>
    <w:p>
      <w:pPr>
        <w:spacing w:before="0" w:after="60"/>
        <w:ind w:left="504" w:hanging="288"/>
      </w:pPr>
      <w:r>
        <w:rPr>
          <w:b w:val="0"/>
        </w:rPr>
        <w:t xml:space="preserve">•  </w:t>
      </w:r>
      <w:r>
        <w:rPr>
          <w:b/>
          <w:i w:val="0"/>
        </w:rPr>
        <w:t>Schema Validation</w:t>
      </w:r>
      <w:r>
        <w:rPr>
          <w:b w:val="0"/>
          <w:i w:val="0"/>
        </w:rPr>
        <w:t>: Outputs are constrained to structured JSON schemas; any "hallucinated" fields or out-of-range values trigger a re-generation or a "Low Confidence" flag.</w:t>
      </w:r>
    </w:p>
    <w:p>
      <w:pPr>
        <w:pStyle w:val="Heading3"/>
      </w:pPr>
      <w:r>
        <w:rPr>
          <w:b w:val="0"/>
          <w:i w:val="0"/>
        </w:rPr>
        <w:t>Filter Skill Performance Targets (FR-AI-01)</w:t>
      </w:r>
    </w:p>
    <w:p>
      <w:pPr>
        <w:spacing w:before="0" w:after="60"/>
        <w:ind w:left="504" w:hanging="288"/>
      </w:pPr>
      <w:r>
        <w:rPr>
          <w:b w:val="0"/>
        </w:rPr>
        <w:t xml:space="preserve">•  </w:t>
      </w:r>
      <w:r>
        <w:rPr>
          <w:b/>
          <w:i w:val="0"/>
        </w:rPr>
        <w:t>False Positive Rate (FPR)</w:t>
      </w:r>
      <w:r>
        <w:rPr>
          <w:b w:val="0"/>
          <w:i w:val="0"/>
        </w:rPr>
        <w:t>: The rate at which the LLM suggests a failure mechanism that the Filter Skill correctly rejects. Documented across M0/M1 validation data.</w:t>
      </w:r>
    </w:p>
    <w:p>
      <w:pPr>
        <w:spacing w:before="0" w:after="60"/>
        <w:ind w:left="504" w:hanging="288"/>
      </w:pPr>
      <w:r>
        <w:rPr>
          <w:b w:val="0"/>
        </w:rPr>
        <w:t xml:space="preserve">•  </w:t>
      </w:r>
      <w:r>
        <w:rPr>
          <w:b/>
          <w:i w:val="0"/>
        </w:rPr>
        <w:t>False Negative Rate (FNR)</w:t>
      </w:r>
      <w:r>
        <w:rPr>
          <w:b w:val="0"/>
          <w:i w:val="0"/>
        </w:rPr>
        <w:t>: The rate at which the LLM suggests a plausible-but-incorrect mechanism that the Filter Skill fails to catch. Measured via ground-truth labeling by an integrity / reliability engineer panel. The FR-ANO-02 spike objective (&gt;90% agreement with human engineer panel) applies to the full chain including Filter Skills, not just to the LLM output pre-filtering.</w:t>
      </w:r>
    </w:p>
    <w:p>
      <w:pPr>
        <w:spacing w:before="0" w:after="60"/>
        <w:ind w:left="504" w:hanging="288"/>
      </w:pPr>
      <w:r>
        <w:rPr>
          <w:b w:val="0"/>
        </w:rPr>
        <w:t xml:space="preserve">•  </w:t>
      </w:r>
      <w:r>
        <w:rPr>
          <w:b/>
          <w:i w:val="0"/>
        </w:rPr>
        <w:t>Re-evaluation cadence</w:t>
      </w:r>
      <w:r>
        <w:rPr>
          <w:b w:val="0"/>
          <w:i w:val="0"/>
        </w:rPr>
        <w:t>: Filter Skill performance is re-evaluated after every new inspection campaign, since each campaign expands the input distribution.</w:t>
      </w:r>
    </w:p>
    <w:p>
      <w:pPr>
        <w:pStyle w:val="Heading2"/>
      </w:pPr>
      <w:r>
        <w:rPr>
          <w:b w:val="0"/>
          <w:i w:val="0"/>
        </w:rPr>
        <w:t>Confidence Scoring and Calibration</w:t>
      </w:r>
    </w:p>
    <w:p>
      <w:pPr>
        <w:spacing w:before="0" w:after="120"/>
      </w:pPr>
      <w:r>
        <w:rPr>
          <w:b w:val="0"/>
          <w:i w:val="0"/>
        </w:rPr>
        <w:t>Kav AI provides a 0.0–1.0 confidence score for every AI-generated output (mapping, detection, recommendation):</w:t>
      </w:r>
    </w:p>
    <w:p>
      <w:pPr>
        <w:spacing w:before="0" w:after="60"/>
        <w:ind w:left="504" w:hanging="288"/>
      </w:pPr>
      <w:r>
        <w:rPr>
          <w:b w:val="0"/>
        </w:rPr>
        <w:t xml:space="preserve">•  </w:t>
      </w:r>
      <w:r>
        <w:rPr>
          <w:b/>
          <w:i w:val="0"/>
        </w:rPr>
        <w:t>Source Density</w:t>
      </w:r>
      <w:r>
        <w:rPr>
          <w:b w:val="0"/>
          <w:i w:val="0"/>
        </w:rPr>
        <w:t>: Weights based on the availability and quality of sensor/inspection data.</w:t>
      </w:r>
    </w:p>
    <w:p>
      <w:pPr>
        <w:spacing w:before="0" w:after="60"/>
        <w:ind w:left="504" w:hanging="288"/>
      </w:pPr>
      <w:r>
        <w:rPr>
          <w:b w:val="0"/>
        </w:rPr>
        <w:t xml:space="preserve">•  </w:t>
      </w:r>
      <w:r>
        <w:rPr>
          <w:b/>
          <w:i w:val="0"/>
        </w:rPr>
        <w:t>Model Consensus</w:t>
      </w:r>
      <w:r>
        <w:rPr>
          <w:b w:val="0"/>
          <w:i w:val="0"/>
        </w:rPr>
        <w:t>: Variance across multi-agent reasoning paths.</w:t>
      </w:r>
    </w:p>
    <w:p>
      <w:pPr>
        <w:spacing w:before="0" w:after="60"/>
        <w:ind w:left="504" w:hanging="288"/>
      </w:pPr>
      <w:r>
        <w:rPr>
          <w:b w:val="0"/>
        </w:rPr>
        <w:t xml:space="preserve">•  </w:t>
      </w:r>
      <w:r>
        <w:rPr>
          <w:b/>
          <w:i w:val="0"/>
        </w:rPr>
        <w:t>OOD Detection</w:t>
      </w:r>
      <w:r>
        <w:rPr>
          <w:b w:val="0"/>
          <w:i w:val="0"/>
        </w:rPr>
        <w:t>: Out-of-Distribution detection flags inputs (e.g., extreme sensor noise) that differ materially from the M0/M1 training distribution.</w:t>
      </w:r>
    </w:p>
    <w:p>
      <w:pPr>
        <w:spacing w:before="0" w:after="60"/>
        <w:ind w:left="504" w:hanging="288"/>
      </w:pPr>
      <w:r>
        <w:rPr>
          <w:b w:val="0"/>
        </w:rPr>
        <w:t xml:space="preserve">•  </w:t>
      </w:r>
      <w:r>
        <w:rPr>
          <w:b/>
          <w:i w:val="0"/>
        </w:rPr>
        <w:t>Cross-Source Confirmation</w:t>
      </w:r>
      <w:r>
        <w:rPr>
          <w:b w:val="0"/>
          <w:i w:val="0"/>
        </w:rPr>
        <w:t>: In v3.2, corroboration across independent sources can increase confidence, but only after the output has survived deterministic validation.</w:t>
      </w:r>
    </w:p>
    <w:p>
      <w:pPr>
        <w:pStyle w:val="Heading3"/>
      </w:pPr>
      <w:r>
        <w:rPr>
          <w:b w:val="0"/>
          <w:i w:val="0"/>
        </w:rPr>
        <w:t>Confidence Score Calibration Protocol (FR-AI-02)</w:t>
      </w:r>
    </w:p>
    <w:p>
      <w:pPr>
        <w:spacing w:before="0" w:after="120"/>
      </w:pPr>
      <w:r>
        <w:rPr>
          <w:b w:val="0"/>
          <w:i w:val="0"/>
        </w:rPr>
        <w:t>Confidence scores are calibrated against empirical accuracy before they are used as a dashboard threshold:</w:t>
      </w:r>
    </w:p>
    <w:p>
      <w:pPr>
        <w:spacing w:before="0" w:after="60"/>
        <w:ind w:left="504" w:hanging="288"/>
      </w:pPr>
      <w:r>
        <w:rPr>
          <w:b w:val="0"/>
        </w:rPr>
        <w:t xml:space="preserve">1.  </w:t>
      </w:r>
      <w:r>
        <w:rPr>
          <w:b w:val="0"/>
          <w:i w:val="0"/>
        </w:rPr>
        <w:t>For each confidence bucket (0.5–0.6, 0.6–0.7, 0.7–0.8, 0.8–0.9, 0.9–1.0), measure the proportion of outputs in that bucket that are confirmed correct by the operator pilot lead.</w:t>
      </w:r>
    </w:p>
    <w:p>
      <w:pPr>
        <w:spacing w:before="0" w:after="60"/>
        <w:ind w:left="504" w:hanging="288"/>
      </w:pPr>
      <w:r>
        <w:rPr>
          <w:b w:val="0"/>
        </w:rPr>
        <w:t xml:space="preserve">2.  </w:t>
      </w:r>
      <w:r>
        <w:rPr>
          <w:b w:val="0"/>
          <w:i w:val="0"/>
        </w:rPr>
        <w:t>Plot the calibration curve. A perfectly calibrated model has a diagonal curve (0.7 confidence = 70% accuracy). Report the calibration error.</w:t>
      </w:r>
    </w:p>
    <w:p>
      <w:pPr>
        <w:spacing w:before="0" w:after="60"/>
        <w:ind w:left="504" w:hanging="288"/>
      </w:pPr>
      <w:r>
        <w:rPr>
          <w:b w:val="0"/>
        </w:rPr>
        <w:t xml:space="preserve">3.  </w:t>
      </w:r>
      <w:r>
        <w:rPr>
          <w:b w:val="0"/>
          <w:i w:val="0"/>
        </w:rPr>
        <w:t>Adjust the dashboard surfacing threshold based on the calibration curve, not the raw confidence score. If the 0.7 bucket has 50% empirical accuracy, the surfacing threshold should be raised to the bucket that achieves the target accuracy.</w:t>
      </w:r>
    </w:p>
    <w:p>
      <w:pPr>
        <w:spacing w:before="0" w:after="60"/>
        <w:ind w:left="504" w:hanging="288"/>
      </w:pPr>
      <w:r>
        <w:rPr>
          <w:b w:val="0"/>
        </w:rPr>
        <w:t xml:space="preserve">4.  </w:t>
      </w:r>
      <w:r>
        <w:rPr>
          <w:b w:val="0"/>
          <w:i w:val="0"/>
        </w:rPr>
        <w:t>Include the calibration curve as a deliverable in the 90-day pilot success evaluation (Appendix G), updated at Week 9–10.</w:t>
      </w:r>
    </w:p>
    <w:p>
      <w:pPr>
        <w:spacing w:before="0" w:after="120"/>
      </w:pPr>
      <w:r>
        <w:rPr>
          <w:b w:val="0"/>
          <w:i/>
        </w:rPr>
        <w:t>v3.2 / v3.3 extension:</w:t>
      </w:r>
      <w:r>
        <w:rPr>
          <w:b w:val="0"/>
          <w:i w:val="0"/>
        </w:rPr>
        <w:t xml:space="preserve"> calibration must be reported separately for single-source findings, corroborated findings, and multi-source confirmed findings. Cross-source uplift is disabled by default until empirical accuracy demonstrates that the uplift is warranted. v3.3 additionally requires that the externally-quoted </w:t>
      </w:r>
      <w:r>
        <w:rPr>
          <w:b/>
          <w:i w:val="0"/>
        </w:rPr>
        <w:t>multi-source confirmed TPR &gt; 98% / FPR &lt; 2%</w:t>
      </w:r>
      <w:r>
        <w:rPr>
          <w:b w:val="0"/>
          <w:i w:val="0"/>
        </w:rPr>
        <w:t xml:space="preserve"> target be reported against the same calibration curve and re-evaluated after every campaign and patrol cycle.</w:t>
      </w:r>
    </w:p>
    <w:p>
      <w:pPr>
        <w:spacing w:before="40" w:after="160"/>
        <w:jc w:val="left"/>
      </w:pPr>
      <w:r>
        <w:rPr>
          <w:i/>
          <w:color w:val="666666"/>
          <w:sz w:val="19"/>
        </w:rPr>
        <w:t>The current threshold of 0.7 for Action dashboard surfacing and 0.6 for UNCERTAIN flagging is provisional until calibration data from the third inspection campaign is available.</w:t>
      </w:r>
    </w:p>
    <w:p>
      <w:pPr>
        <w:pStyle w:val="Heading3"/>
      </w:pPr>
      <w:r>
        <w:rPr>
          <w:b w:val="0"/>
          <w:i w:val="0"/>
        </w:rPr>
        <w:t>OOD Detection Update Cadence (FR-AI-04)</w:t>
      </w:r>
    </w:p>
    <w:p>
      <w:pPr>
        <w:spacing w:before="0" w:after="120"/>
      </w:pPr>
      <w:r>
        <w:rPr>
          <w:b w:val="0"/>
          <w:i w:val="0"/>
        </w:rPr>
        <w:t>The M0/M1 training distribution covers two facilities. The OOD detector trained on this distribution will flag the majority of inputs from a third facility as OOD.</w:t>
      </w:r>
    </w:p>
    <w:p>
      <w:pPr>
        <w:spacing w:before="0" w:after="60"/>
        <w:ind w:left="504" w:hanging="288"/>
      </w:pPr>
      <w:r>
        <w:rPr>
          <w:b w:val="0"/>
        </w:rPr>
        <w:t xml:space="preserve">•  </w:t>
      </w:r>
      <w:r>
        <w:rPr>
          <w:b w:val="0"/>
          <w:i w:val="0"/>
        </w:rPr>
        <w:t>After each new inspection campaign, retrain the OOD detector on the expanded distribution. This is lower-cost than retraining the detection models and can be done continuously.</w:t>
      </w:r>
    </w:p>
    <w:p>
      <w:pPr>
        <w:spacing w:before="0" w:after="60"/>
        <w:ind w:left="504" w:hanging="288"/>
      </w:pPr>
      <w:r>
        <w:rPr>
          <w:b w:val="0"/>
        </w:rPr>
        <w:t xml:space="preserve">•  </w:t>
      </w:r>
      <w:r>
        <w:rPr>
          <w:b/>
          <w:i w:val="0"/>
        </w:rPr>
        <w:t>New facility onboarding procedure</w:t>
      </w:r>
      <w:r>
        <w:rPr>
          <w:b w:val="0"/>
          <w:i w:val="0"/>
        </w:rPr>
        <w:t>: The first campaign at a new facility is treated as baseline data collection, not production anomaly detection. OOD flags are expected and are used to calibrate the detector, not to surface UNCERTAIN alerts to operators.</w:t>
      </w:r>
    </w:p>
    <w:p>
      <w:pPr>
        <w:spacing w:before="0" w:after="60"/>
        <w:ind w:left="504" w:hanging="288"/>
      </w:pPr>
      <w:r>
        <w:rPr>
          <w:b w:val="0"/>
        </w:rPr>
        <w:t xml:space="preserve">•  </w:t>
      </w:r>
      <w:r>
        <w:rPr>
          <w:b w:val="0"/>
          <w:i w:val="0"/>
        </w:rPr>
        <w:t>This procedure is documented in the pilot framework (Appendix G) so that operators understand that Week 1–4 detection performance will differ from steady-state performance.</w:t>
      </w:r>
    </w:p>
    <w:p>
      <w:pPr>
        <w:spacing w:before="0" w:after="60"/>
        <w:ind w:left="504" w:hanging="288"/>
      </w:pPr>
      <w:r>
        <w:rPr>
          <w:b w:val="0"/>
        </w:rPr>
        <w:t xml:space="preserve">•  </w:t>
      </w:r>
      <w:r>
        <w:rPr>
          <w:b/>
          <w:i w:val="0"/>
        </w:rPr>
        <w:t>v3.2 / v3.3 extension</w:t>
      </w:r>
      <w:r>
        <w:rPr>
          <w:b w:val="0"/>
          <w:i w:val="0"/>
        </w:rPr>
        <w:t>: High-endurance robot sessions, IFC/RVT metadata variance, fixed-infrastructure continuous-coverage telemetry, and high-regulation-environment sensor readings (e.g., dose, hot-cell, hazardous-area) are each treated as distinct distribution expansions. The first mission set in each category is baseline calibration data, not production-grade alerting data.</w:t>
      </w:r>
    </w:p>
    <w:p>
      <w:pPr>
        <w:pStyle w:val="Heading2"/>
      </w:pPr>
      <w:r>
        <w:rPr>
          <w:b w:val="0"/>
          <w:i w:val="0"/>
        </w:rPr>
        <w:t>Safety Fallbacks and HITL</w:t>
      </w:r>
    </w:p>
    <w:p>
      <w:pPr>
        <w:spacing w:before="0" w:after="120"/>
      </w:pPr>
      <w:r>
        <w:rPr>
          <w:b w:val="0"/>
          <w:i w:val="0"/>
        </w:rPr>
        <w:t>If an AI output fails a Filter Skill or returns a confidence score below 0.6:</w:t>
      </w:r>
    </w:p>
    <w:p>
      <w:pPr>
        <w:spacing w:before="0" w:after="60"/>
        <w:ind w:left="504" w:hanging="288"/>
      </w:pPr>
      <w:r>
        <w:rPr>
          <w:b w:val="0"/>
        </w:rPr>
        <w:t xml:space="preserve">1.  </w:t>
      </w:r>
      <w:r>
        <w:rPr>
          <w:b w:val="0"/>
          <w:i w:val="0"/>
        </w:rPr>
        <w:t xml:space="preserve">The output is automatically marked as </w:t>
      </w:r>
      <w:r>
        <w:rPr>
          <w:b/>
          <w:i w:val="0"/>
        </w:rPr>
        <w:t>"UNCERTAIN - REVIEW REQUIRED."</w:t>
      </w:r>
    </w:p>
    <w:p>
      <w:pPr>
        <w:spacing w:before="0" w:after="60"/>
        <w:ind w:left="504" w:hanging="288"/>
      </w:pPr>
      <w:r>
        <w:rPr>
          <w:b w:val="0"/>
        </w:rPr>
        <w:t xml:space="preserve">2.  </w:t>
      </w:r>
      <w:r>
        <w:rPr>
          <w:b w:val="0"/>
          <w:i w:val="0"/>
        </w:rPr>
        <w:t>The Integrity / Reliability Engineer is presented with the conflicting evidence (e.g., "AI suggests SCC, but material is plain Carbon Steel — check required"; or "AI suggests refractory hot-spot, but the equipment is uninsulated metallic — check required").</w:t>
      </w:r>
    </w:p>
    <w:p>
      <w:pPr>
        <w:spacing w:before="0" w:after="60"/>
        <w:ind w:left="504" w:hanging="288"/>
      </w:pPr>
      <w:r>
        <w:rPr>
          <w:b w:val="0"/>
        </w:rPr>
        <w:t xml:space="preserve">3.  </w:t>
      </w:r>
      <w:r>
        <w:rPr>
          <w:b w:val="0"/>
          <w:i w:val="0"/>
        </w:rPr>
        <w:t>The system prevents the anomaly from propagating to the "Critical Action" dashboard until manually resolved.</w:t>
      </w:r>
    </w:p>
    <w:p>
      <w:pPr>
        <w:pStyle w:val="Heading2"/>
      </w:pPr>
      <w:r>
        <w:rPr>
          <w:b w:val="0"/>
          <w:i w:val="0"/>
        </w:rPr>
        <w:t>Chain-Level Consistency Gate (FR-AI-03)</w:t>
      </w:r>
    </w:p>
    <w:p>
      <w:pPr>
        <w:spacing w:before="0" w:after="120"/>
      </w:pPr>
      <w:r>
        <w:rPr>
          <w:b w:val="0"/>
          <w:i w:val="0"/>
        </w:rPr>
        <w:t>The operating-limit / failure-mechanism chain is a 6-stage pipeline. A hallucination in Stage 3 that passes the Filter Skill will propagate through Stages 4, 5, and 6, compounding at each step. The consistency gate (Stage 3.5 in the analytical chain table above) performs three checks to prevent this:</w:t>
      </w:r>
    </w:p>
    <w:p>
      <w:pPr>
        <w:spacing w:before="0" w:after="60"/>
        <w:ind w:left="504" w:hanging="288"/>
      </w:pPr>
      <w:r>
        <w:rPr>
          <w:b w:val="0"/>
        </w:rPr>
        <w:t xml:space="preserve">1.  </w:t>
      </w:r>
      <w:r>
        <w:rPr>
          <w:b/>
          <w:i w:val="0"/>
        </w:rPr>
        <w:t>Material-mechanism consistency</w:t>
      </w:r>
      <w:r>
        <w:rPr>
          <w:b w:val="0"/>
          <w:i w:val="0"/>
        </w:rPr>
        <w:t>: Is the predicted failure mechanism physically plausible given the asset's material of construction and operating environment? (This is the existing Filter Skill.)</w:t>
      </w:r>
    </w:p>
    <w:p>
      <w:pPr>
        <w:spacing w:before="0" w:after="60"/>
        <w:ind w:left="504" w:hanging="288"/>
      </w:pPr>
      <w:r>
        <w:rPr>
          <w:b w:val="0"/>
        </w:rPr>
        <w:t xml:space="preserve">2.  </w:t>
      </w:r>
      <w:r>
        <w:rPr>
          <w:b/>
          <w:i w:val="0"/>
        </w:rPr>
        <w:t>Rate-mechanism consistency</w:t>
      </w:r>
      <w:r>
        <w:rPr>
          <w:b w:val="0"/>
          <w:i w:val="0"/>
        </w:rPr>
        <w:t>: Is the predicted degradation / wear rate in Stage 5 consistent with the predicted failure mechanism in Stage 3? For example, if Stage 3 predicts external insulation damage, the rate should not be derived from internal process chemistry data; if Stage 3 predicts abrasion at a transfer point, the rate should not be derived from a uniform-corrosion model.</w:t>
      </w:r>
    </w:p>
    <w:p>
      <w:pPr>
        <w:spacing w:before="0" w:after="60"/>
        <w:ind w:left="504" w:hanging="288"/>
      </w:pPr>
      <w:r>
        <w:rPr>
          <w:b w:val="0"/>
        </w:rPr>
        <w:t xml:space="preserve">3.  </w:t>
      </w:r>
      <w:r>
        <w:rPr>
          <w:b/>
          <w:i w:val="0"/>
        </w:rPr>
        <w:t>Evidence consistency</w:t>
      </w:r>
      <w:r>
        <w:rPr>
          <w:b w:val="0"/>
          <w:i w:val="0"/>
        </w:rPr>
        <w:t>: If Stage 4 physical validation data is available, does the visual evidence (thermal anomaly pattern, specialty-imagery reading) match what the predicted failure mechanism would produce? A thermal anomaly consistent with insulation / refractory damage is consistent with that mechanism. A uniform wall-loss pattern from thickness measurement is not consistent with localized pitting from a specific underdeposit attack.</w:t>
      </w:r>
    </w:p>
    <w:p>
      <w:pPr>
        <w:spacing w:before="0" w:after="120"/>
      </w:pPr>
      <w:r>
        <w:rPr>
          <w:b w:val="0"/>
          <w:i w:val="0"/>
        </w:rPr>
        <w:t xml:space="preserve">Failures produce an explicit </w:t>
      </w:r>
      <w:r>
        <w:rPr>
          <w:b/>
          <w:i w:val="0"/>
        </w:rPr>
        <w:t>"INCONSISTENT — ENGINEERING REVIEW REQUIRED"</w:t>
      </w:r>
      <w:r>
        <w:rPr>
          <w:b w:val="0"/>
          <w:i w:val="0"/>
        </w:rPr>
        <w:t xml:space="preserve"> flag rather than propagating to Stage 5. The inconsistency reason and the conflicting evidence are surfaced to the engineer alongside the flag.</w:t>
      </w:r>
    </w:p>
    <w:p>
      <w:pPr>
        <w:spacing w:before="0" w:after="120"/>
      </w:pPr>
      <w:r>
        <w:rPr>
          <w:b w:val="0"/>
          <w:i w:val="0"/>
        </w:rPr>
        <w:t xml:space="preserve">From v3.2 onwards, multi-source confirmation strengthens evidence consistency only when the corroborating sources are genuinely independent. A second source can support a finding; it cannot override a Filter Skill rejection or erase a material-mechanism inconsistency. v3.3 restates the priority order explicitly — </w:t>
      </w:r>
      <w:r>
        <w:rPr>
          <w:b/>
          <w:i w:val="0"/>
        </w:rPr>
        <w:t>Filter Skill &gt; Stage 3.5 &gt; cross-source uplift</w:t>
      </w:r>
      <w:r>
        <w:rPr>
          <w:b w:val="0"/>
          <w:i w:val="0"/>
        </w:rPr>
        <w:t xml:space="preserve"> — so that the cross-source correlation engine cannot be misread as a Filter Skill bypass. High-regulation deployments (e.g., nuclear, hot-cell, regulated hazardous-area sites) additionally require mandatory engineer review before any downstream CMMS / EAM handoff.</w:t>
      </w:r>
    </w:p>
    <w:p>
      <w:pPr>
        <w:pStyle w:val="Heading1"/>
      </w:pPr>
      <w:r>
        <w:rPr>
          <w:b w:val="0"/>
          <w:i w:val="0"/>
        </w:rPr>
        <w:t>Deployment Architecture — On-Premise, Air-Gapped, and Fixed-Infrastructure Options</w:t>
      </w:r>
    </w:p>
    <w:p>
      <w:pPr>
        <w:spacing w:before="0" w:after="120"/>
      </w:pPr>
      <w:r>
        <w:rPr>
          <w:b w:val="0"/>
          <w:i w:val="0"/>
        </w:rPr>
        <w:t xml:space="preserve">Enterprise procurement in heavy industry — steel and metals, power, chemicals, pulp &amp; paper, cement, mining, and downstream hydrocarbons — requires defined answers to three infrastructure questions: where does the data go, who controls the model, and can the system operate without cloud connectivity. v3.2 kept the v2.9 answers intact and added a fourth: what changes when the site adopts persistent robot coverage and higher-regulation operating constraints. v3.3 keeps all four answers in place and surfaces an additional procurement-relevant commitment: </w:t>
      </w:r>
      <w:r>
        <w:rPr>
          <w:b/>
          <w:i w:val="0"/>
        </w:rPr>
        <w:t>on-premise / air-gapped deployments require no heartbeat, telemetry, or license callbacks of any kind</w:t>
      </w:r>
      <w:r>
        <w:rPr>
          <w:b w:val="0"/>
          <w:i w:val="0"/>
        </w:rPr>
        <w: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Deployment tier</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Description</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Data residency</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Availability</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Cloud SaaS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AI-managed cloud infrastructure on Google Cloud. Multi-tenant with row-level security. Fastest to deploy. Suitable for operators with standard IT security postures.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GCP tenant (configurable region)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Now (alpha)</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Customer cloud tenant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Container-based deployment into the operator's own Azure or AWS environment. Kav AI provides the container package and upgrade process; the operator controls the infrastructure. Satisfies data sovereignty and IT security requirements of major industrial operators.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Operator's own cloud tenant. No data leaves operator environment.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On-premise / air-gapped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Fully containerized deployment on operator-managed hardware within the OT/IT DMZ or corporate LAN. Includes self-hosted LLM inference (</w:t>
            </w:r>
            <w:r>
              <w:rPr>
                <w:rFonts w:ascii="Arial" w:hAnsi="Arial"/>
                <w:b/>
                <w:i w:val="0"/>
                <w:color w:val="111111"/>
                <w:sz w:val="20"/>
              </w:rPr>
              <w:t>Llama-3-70B or Mistral-Large-24.07</w:t>
            </w:r>
            <w:r>
              <w:rPr>
                <w:rFonts w:ascii="Arial" w:hAnsi="Arial"/>
                <w:b w:val="0"/>
                <w:i w:val="0"/>
                <w:color w:val="111111"/>
                <w:sz w:val="20"/>
              </w:rPr>
              <w:t xml:space="preserve">). </w:t>
            </w:r>
            <w:r>
              <w:rPr>
                <w:rFonts w:ascii="Arial" w:hAnsi="Arial"/>
                <w:b/>
                <w:i w:val="0"/>
                <w:color w:val="111111"/>
                <w:sz w:val="20"/>
              </w:rPr>
              <w:t>Hardware Requirements: Min 128GB RAM, 16 vCPU, 2x NVIDIA A100 (80GB) or equivalent</w:t>
            </w:r>
            <w:r>
              <w:rPr>
                <w:rFonts w:ascii="Arial" w:hAnsi="Arial"/>
                <w:b w:val="0"/>
                <w:i w:val="0"/>
                <w:color w:val="111111"/>
                <w:sz w:val="20"/>
              </w:rPr>
              <w:t xml:space="preserve"> — sized for the full air-gapped stack including self-hosted LLM inference; the platform-only footprint is smaller (see Appendix F.6).</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Operator-managed hardware. </w:t>
            </w:r>
            <w:r>
              <w:rPr>
                <w:rFonts w:ascii="Arial" w:hAnsi="Arial"/>
                <w:b/>
                <w:i w:val="0"/>
                <w:color w:val="111111"/>
                <w:sz w:val="20"/>
              </w:rPr>
              <w:t>100% air-gapped; no heartbeat or license callbacks required.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2027 Target</w:t>
            </w:r>
          </w:p>
        </w:tc>
      </w:tr>
    </w:tbl>
    <w:p>
      <w:pPr>
        <w:spacing w:before="40" w:after="120"/>
      </w:pPr>
    </w:p>
    <w:p>
      <w:pPr>
        <w:pStyle w:val="Heading2"/>
      </w:pPr>
      <w:r>
        <w:rPr>
          <w:b w:val="0"/>
          <w:i w:val="0"/>
        </w:rPr>
        <w:t>Control-System Compatibility Matrix (Qualifications)</w:t>
      </w:r>
    </w:p>
    <w:p>
      <w:pPr>
        <w:spacing w:before="0" w:after="120"/>
      </w:pPr>
      <w:r>
        <w:rPr>
          <w:b w:val="0"/>
          <w:i w:val="0"/>
        </w:rPr>
        <w:t>Deployment complexity for OPC UA varies by vendor and version. The list below covers vendors common across heavy industry; sector-specific platforms (e.g., level-2 mill automation in steel) are validated case-by-case.</w:t>
      </w:r>
    </w:p>
    <w:p>
      <w:pPr>
        <w:spacing w:before="0" w:after="60"/>
        <w:ind w:left="504" w:hanging="288"/>
      </w:pPr>
      <w:r>
        <w:rPr>
          <w:b w:val="0"/>
        </w:rPr>
        <w:t xml:space="preserve">•  </w:t>
      </w:r>
      <w:r>
        <w:rPr>
          <w:b/>
          <w:i w:val="0"/>
        </w:rPr>
        <w:t>Emerson DeltaV</w:t>
      </w:r>
      <w:r>
        <w:rPr>
          <w:b w:val="0"/>
          <w:i w:val="0"/>
        </w:rPr>
        <w:t>: Native support from v14.3+; earlier versions require an OPC UA gateway.</w:t>
      </w:r>
    </w:p>
    <w:p>
      <w:pPr>
        <w:spacing w:before="0" w:after="60"/>
        <w:ind w:left="504" w:hanging="288"/>
      </w:pPr>
      <w:r>
        <w:rPr>
          <w:b w:val="0"/>
        </w:rPr>
        <w:t xml:space="preserve">•  </w:t>
      </w:r>
      <w:r>
        <w:rPr>
          <w:b/>
          <w:i w:val="0"/>
        </w:rPr>
        <w:t>AVEVA System Platform</w:t>
      </w:r>
      <w:r>
        <w:rPr>
          <w:b w:val="0"/>
          <w:i w:val="0"/>
        </w:rPr>
        <w:t>: Requires Historian configuration to expose tags via UA; typically restricted by DMZ policy.</w:t>
      </w:r>
    </w:p>
    <w:p>
      <w:pPr>
        <w:spacing w:before="0" w:after="60"/>
        <w:ind w:left="504" w:hanging="288"/>
      </w:pPr>
      <w:r>
        <w:rPr>
          <w:b w:val="0"/>
        </w:rPr>
        <w:t xml:space="preserve">•  </w:t>
      </w:r>
      <w:r>
        <w:rPr>
          <w:b/>
          <w:i w:val="0"/>
        </w:rPr>
        <w:t>Siemens WinCC / SIMATIC / PCS 7</w:t>
      </w:r>
      <w:r>
        <w:rPr>
          <w:b w:val="0"/>
          <w:i w:val="0"/>
        </w:rPr>
        <w:t>: Requires WinCC OPC UA Server license; server configuration often requires Siemens Professional Services.</w:t>
      </w:r>
    </w:p>
    <w:p>
      <w:pPr>
        <w:spacing w:before="0" w:after="60"/>
        <w:ind w:left="504" w:hanging="288"/>
      </w:pPr>
      <w:r>
        <w:rPr>
          <w:b w:val="0"/>
        </w:rPr>
        <w:t xml:space="preserve">•  </w:t>
      </w:r>
      <w:r>
        <w:rPr>
          <w:b/>
          <w:i w:val="0"/>
        </w:rPr>
        <w:t>Rockwell FactoryTalk / Logix</w:t>
      </w:r>
      <w:r>
        <w:rPr>
          <w:b w:val="0"/>
          <w:i w:val="0"/>
        </w:rPr>
        <w:t>: OPC UA exposure via FactoryTalk Gateway or third-party OPC UA wrappers.</w:t>
      </w:r>
    </w:p>
    <w:p>
      <w:pPr>
        <w:spacing w:before="0" w:after="60"/>
        <w:ind w:left="504" w:hanging="288"/>
      </w:pPr>
      <w:r>
        <w:rPr>
          <w:b w:val="0"/>
        </w:rPr>
        <w:t xml:space="preserve">•  </w:t>
      </w:r>
      <w:r>
        <w:rPr>
          <w:b/>
          <w:i w:val="0"/>
        </w:rPr>
        <w:t>Honeywell Experion</w:t>
      </w:r>
      <w:r>
        <w:rPr>
          <w:b w:val="0"/>
          <w:i w:val="0"/>
        </w:rPr>
        <w:t>: OPC UA exposure via Experion OPC UA Server module.</w:t>
      </w:r>
    </w:p>
    <w:p>
      <w:pPr>
        <w:spacing w:before="0" w:after="60"/>
        <w:ind w:left="504" w:hanging="288"/>
      </w:pPr>
      <w:r>
        <w:rPr>
          <w:b w:val="0"/>
        </w:rPr>
        <w:t xml:space="preserve">•  </w:t>
      </w:r>
      <w:r>
        <w:rPr>
          <w:b/>
          <w:i w:val="0"/>
        </w:rPr>
        <w:t>Ignition (Inductive Automation)</w:t>
      </w:r>
      <w:r>
        <w:rPr>
          <w:b w:val="0"/>
          <w:i w:val="0"/>
        </w:rPr>
        <w:t>: Full native compatibility with built-in UA module.</w:t>
      </w:r>
    </w:p>
    <w:p>
      <w:pPr>
        <w:spacing w:before="0" w:after="60"/>
        <w:ind w:left="504" w:hanging="288"/>
      </w:pPr>
      <w:r>
        <w:rPr>
          <w:b w:val="0"/>
        </w:rPr>
        <w:t xml:space="preserve">•  </w:t>
      </w:r>
      <w:r>
        <w:rPr>
          <w:b/>
          <w:i w:val="0"/>
        </w:rPr>
        <w:t>Sector-specific Level-2 automation systems</w:t>
      </w:r>
      <w:r>
        <w:rPr>
          <w:b w:val="0"/>
          <w:i w:val="0"/>
        </w:rPr>
        <w:t xml:space="preserve"> (e.g., metals mill control, recovery-boiler control): OPC UA exposure typically via the vendor's OPC UA gateway or a third-party connector — validated per site.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OT/IT boundary by design</w:t>
            </w:r>
          </w:p>
          <w:p>
            <w:pPr>
              <w:spacing w:before="0" w:after="0"/>
            </w:pPr>
            <w:r>
              <w:rPr>
                <w:rFonts w:ascii="Arial" w:hAnsi="Arial"/>
                <w:b w:val="0"/>
                <w:i w:val="0"/>
                <w:color w:val="222222"/>
                <w:sz w:val="20"/>
              </w:rPr>
              <w:t xml:space="preserve">Kav AI's control-system integration is read-only via OPC UA, operating from the IT side of the OT/IT boundary. </w:t>
            </w:r>
            <w:r>
              <w:rPr>
                <w:rFonts w:ascii="Arial" w:hAnsi="Arial"/>
                <w:b/>
                <w:i w:val="0"/>
                <w:color w:val="222222"/>
                <w:sz w:val="20"/>
              </w:rPr>
              <w:t>Read-only is enforced technically via: (1) OPC UA Server user access rights restricted to 'Read' and 'Subscribe' services only; (2) DMZ proxy/aggregator configured to reject all Write/Call requests; and (3) Firewall TCP/IP port restriction (4840/4843).</w:t>
            </w:r>
            <w:r>
              <w:rPr>
                <w:rFonts w:ascii="Arial" w:hAnsi="Arial"/>
                <w:b w:val="0"/>
                <w:i w:val="0"/>
                <w:color w:val="222222"/>
                <w:sz w:val="20"/>
              </w:rPr>
              <w:t xml:space="preserve"> Kav AI supports outbound connection initiation from the OT side to satisfy strict "no-inbound" firewall policies.</w:t>
            </w:r>
          </w:p>
        </w:tc>
      </w:tr>
    </w:tbl>
    <w:p>
      <w:pPr>
        <w:spacing w:before="40" w:after="120"/>
      </w:pPr>
    </w:p>
    <w:p>
      <w:pPr>
        <w:pStyle w:val="Heading3"/>
      </w:pPr>
      <w:r>
        <w:rPr>
          <w:b w:val="0"/>
          <w:i w:val="0"/>
        </w:rPr>
        <w:t>Secrets and Credential Management</w:t>
      </w:r>
    </w:p>
    <w:p>
      <w:pPr>
        <w:spacing w:before="0" w:after="120"/>
      </w:pPr>
      <w:r>
        <w:rPr>
          <w:b w:val="0"/>
          <w:i w:val="0"/>
        </w:rPr>
        <w:t>Kav AI does not store plain-text credentials in container configurations.</w:t>
      </w:r>
    </w:p>
    <w:p>
      <w:pPr>
        <w:spacing w:before="0" w:after="60"/>
        <w:ind w:left="504" w:hanging="288"/>
      </w:pPr>
      <w:r>
        <w:rPr>
          <w:b w:val="0"/>
        </w:rPr>
        <w:t xml:space="preserve">•  </w:t>
      </w:r>
      <w:r>
        <w:rPr>
          <w:b/>
          <w:i w:val="0"/>
        </w:rPr>
        <w:t>OPC UA Authentication</w:t>
      </w:r>
      <w:r>
        <w:rPr>
          <w:b w:val="0"/>
          <w:i w:val="0"/>
        </w:rPr>
        <w:t xml:space="preserve">: Supports </w:t>
      </w:r>
      <w:r>
        <w:rPr>
          <w:b/>
          <w:i w:val="0"/>
        </w:rPr>
        <w:t>X.509 Client Certificates</w:t>
      </w:r>
      <w:r>
        <w:rPr>
          <w:b w:val="0"/>
          <w:i w:val="0"/>
        </w:rPr>
        <w:t xml:space="preserve"> (PKI) for Mutual TLS (mTLS) or encrypted username/password via integration with </w:t>
      </w:r>
      <w:r>
        <w:rPr>
          <w:b/>
          <w:i w:val="0"/>
        </w:rPr>
        <w:t>HashiCorp Vault</w:t>
      </w:r>
      <w:r>
        <w:rPr>
          <w:b w:val="0"/>
          <w:i w:val="0"/>
        </w:rPr>
        <w:t xml:space="preserve"> or cloud-native secrets managers (Azure Key Vault, GCP Secrets Manager).</w:t>
      </w:r>
    </w:p>
    <w:p>
      <w:pPr>
        <w:spacing w:before="0" w:after="60"/>
        <w:ind w:left="504" w:hanging="288"/>
      </w:pPr>
      <w:r>
        <w:rPr>
          <w:b w:val="0"/>
        </w:rPr>
        <w:t xml:space="preserve">•  </w:t>
      </w:r>
      <w:r>
        <w:rPr>
          <w:b/>
          <w:i w:val="0"/>
        </w:rPr>
        <w:t>Encryption</w:t>
      </w:r>
      <w:r>
        <w:rPr>
          <w:b w:val="0"/>
          <w:i w:val="0"/>
        </w:rPr>
        <w:t xml:space="preserve">: All data is encrypted at rest using </w:t>
      </w:r>
      <w:r>
        <w:rPr>
          <w:b/>
          <w:i w:val="0"/>
        </w:rPr>
        <w:t>AES-256</w:t>
      </w:r>
      <w:r>
        <w:rPr>
          <w:b w:val="0"/>
          <w:i w:val="0"/>
        </w:rPr>
        <w:t xml:space="preserve"> and in transit via </w:t>
      </w:r>
      <w:r>
        <w:rPr>
          <w:b/>
          <w:i w:val="0"/>
        </w:rPr>
        <w:t>TLS 1.2/1.3</w:t>
      </w:r>
      <w:r>
        <w:rPr>
          <w:b w:val="0"/>
          <w:i w:val="0"/>
        </w:rPr>
        <w:t>.</w:t>
      </w:r>
    </w:p>
    <w:p>
      <w:pPr>
        <w:pStyle w:val="Heading3"/>
      </w:pPr>
      <w:r>
        <w:rPr>
          <w:b w:val="0"/>
          <w:i w:val="0"/>
        </w:rPr>
        <w:t>Container Supply Chain Security</w:t>
      </w:r>
    </w:p>
    <w:p>
      <w:pPr>
        <w:spacing w:before="0" w:after="120"/>
      </w:pPr>
      <w:r>
        <w:rPr>
          <w:b w:val="0"/>
          <w:i w:val="0"/>
        </w:rPr>
        <w:t>To ensure the integrity of on-premise and tenant deployments:</w:t>
      </w:r>
    </w:p>
    <w:p>
      <w:pPr>
        <w:spacing w:before="0" w:after="60"/>
        <w:ind w:left="504" w:hanging="288"/>
      </w:pPr>
      <w:r>
        <w:rPr>
          <w:b w:val="0"/>
        </w:rPr>
        <w:t xml:space="preserve">•  </w:t>
      </w:r>
      <w:r>
        <w:rPr>
          <w:b/>
          <w:i w:val="0"/>
        </w:rPr>
        <w:t>Image Signing</w:t>
      </w:r>
      <w:r>
        <w:rPr>
          <w:b w:val="0"/>
          <w:i w:val="0"/>
        </w:rPr>
        <w:t xml:space="preserve">: All production container images are signed using </w:t>
      </w:r>
      <w:r>
        <w:rPr>
          <w:b/>
          <w:i w:val="0"/>
        </w:rPr>
        <w:t>Sigstore/cosign</w:t>
      </w:r>
      <w:r>
        <w:rPr>
          <w:b w:val="0"/>
          <w:i w:val="0"/>
        </w:rPr>
        <w:t xml:space="preserve"> and verified at runtime.</w:t>
      </w:r>
    </w:p>
    <w:p>
      <w:pPr>
        <w:spacing w:before="0" w:after="60"/>
        <w:ind w:left="504" w:hanging="288"/>
      </w:pPr>
      <w:r>
        <w:rPr>
          <w:b w:val="0"/>
        </w:rPr>
        <w:t xml:space="preserve">•  </w:t>
      </w:r>
      <w:r>
        <w:rPr>
          <w:b/>
          <w:i w:val="0"/>
        </w:rPr>
        <w:t>Vulnerability Scanning</w:t>
      </w:r>
      <w:r>
        <w:rPr>
          <w:b w:val="0"/>
          <w:i w:val="0"/>
        </w:rPr>
        <w:t xml:space="preserve">: CI/CD pipelines use </w:t>
      </w:r>
      <w:r>
        <w:rPr>
          <w:b/>
          <w:i w:val="0"/>
        </w:rPr>
        <w:t>Trivy</w:t>
      </w:r>
      <w:r>
        <w:rPr>
          <w:b w:val="0"/>
          <w:i w:val="0"/>
        </w:rPr>
        <w:t xml:space="preserve"> for deep-layer vulnerability scanning before image promotion.</w:t>
      </w:r>
    </w:p>
    <w:p>
      <w:pPr>
        <w:spacing w:before="0" w:after="60"/>
        <w:ind w:left="504" w:hanging="288"/>
      </w:pPr>
      <w:r>
        <w:rPr>
          <w:b w:val="0"/>
        </w:rPr>
        <w:t xml:space="preserve">•  </w:t>
      </w:r>
      <w:r>
        <w:rPr>
          <w:b/>
          <w:i w:val="0"/>
        </w:rPr>
        <w:t>SBOM</w:t>
      </w:r>
      <w:r>
        <w:rPr>
          <w:b w:val="0"/>
          <w:i w:val="0"/>
        </w:rPr>
        <w:t>: A Software Bill of Materials (</w:t>
      </w:r>
      <w:r>
        <w:rPr>
          <w:b/>
          <w:i w:val="0"/>
        </w:rPr>
        <w:t>SPDX format</w:t>
      </w:r>
      <w:r>
        <w:rPr>
          <w:b w:val="0"/>
          <w:i w:val="0"/>
        </w:rPr>
        <w:t>) is provided for every production release to facilitate operator-side security audits.</w:t>
      </w:r>
    </w:p>
    <w:p>
      <w:pPr>
        <w:pStyle w:val="Heading2"/>
      </w:pPr>
      <w:r>
        <w:rPr>
          <w:b w:val="0"/>
          <w:i w:val="0"/>
        </w:rPr>
        <w:t>Security and compliance targets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Framework</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Kav AI position</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Target date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SOC 2 Type II</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Security certification audit in planning. Controls mapped; observation period expected to commence Q2 2026. </w:t>
            </w:r>
            <w:r>
              <w:rPr>
                <w:rFonts w:ascii="Arial" w:hAnsi="Arial"/>
                <w:b/>
                <w:i w:val="0"/>
                <w:color w:val="111111"/>
                <w:sz w:val="20"/>
              </w:rPr>
              <w:t>(Target completion: Q4 2026, pending audit window success).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 (Target)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IEC 62443 (OT security)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Read-only OPC UA integration, no writes to OT systems, Purdue Model-compatible network segmentation in on-premise tier. Compatible with site-level information-security frameworks (e.g., NIST CSF, ISO 27001).</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On-premise tier (Q2 2027)</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sovereignty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Customer cloud tenant and on-premise tiers provide full data residency within operator's own environment. </w:t>
            </w:r>
            <w:r>
              <w:rPr>
                <w:rFonts w:ascii="Arial" w:hAnsi="Arial"/>
                <w:b/>
                <w:i w:val="0"/>
                <w:color w:val="111111"/>
                <w:sz w:val="20"/>
              </w:rPr>
              <w:t>No telemetry or imagery leaves the operator security perimeter in these modes.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Customer cloud (Q4 2026)</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Authentication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JWT with short-lived tokens, multi-tenant row-level security (verified via independent pentest), SSO integration via SAML 2.0 / OIDC.</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 (delivered)</w:t>
            </w:r>
          </w:p>
        </w:tc>
      </w:tr>
    </w:tbl>
    <w:p>
      <w:pPr>
        <w:spacing w:before="40" w:after="120"/>
      </w:pPr>
    </w:p>
    <w:p>
      <w:pPr>
        <w:pStyle w:val="Heading2"/>
      </w:pPr>
      <w:r>
        <w:rPr>
          <w:b w:val="0"/>
          <w:i w:val="0"/>
        </w:rPr>
        <w:t>Fixed infrastructure deployment</w:t>
      </w:r>
    </w:p>
    <w:p>
      <w:pPr>
        <w:spacing w:before="0" w:after="120"/>
      </w:pPr>
      <w:r>
        <w:rPr>
          <w:b w:val="0"/>
          <w:i w:val="0"/>
        </w:rPr>
        <w:t>The fixed-infrastructure additions are treated in v3.2 as deployment extensions rather than as a separate product: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Component</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Specification</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Responsibility</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Navigation beacons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UWB or LiDAR-reflector-based references; target within 10cm of onboard baseline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specifies; operator installs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Communication backbone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Private 5G, industrial Wi-Fi mesh, or hybrid; &gt;= 50 Mbps uplink per patrol zone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specifies; operator provisions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Docking stations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Power and wired network drops for charging and bulk data offload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specifies; operator installs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Coverage orchestration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Runs inside Kav AI and publishes ranked inspection priorities to fleet software or operators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deploys</w:t>
            </w:r>
          </w:p>
        </w:tc>
      </w:tr>
    </w:tbl>
    <w:p>
      <w:pPr>
        <w:spacing w:before="40" w:after="120"/>
      </w:pPr>
    </w:p>
    <w:p>
      <w:pPr>
        <w:spacing w:before="0" w:after="120"/>
      </w:pPr>
      <w:r>
        <w:rPr>
          <w:b w:val="0"/>
          <w:i w:val="0"/>
        </w:rPr>
        <w:t>These components do not alter the OT/IT boundary described above. In air-gapped deployments they operate entirely within the operator's network perimeter.</w:t>
      </w:r>
    </w:p>
    <w:p>
      <w:pPr>
        <w:pStyle w:val="Heading2"/>
      </w:pPr>
      <w:r>
        <w:rPr>
          <w:b w:val="0"/>
          <w:i w:val="0"/>
        </w:rPr>
        <w:t>Regulated-environment considerations</w:t>
      </w:r>
    </w:p>
    <w:p>
      <w:pPr>
        <w:spacing w:before="0" w:after="120"/>
      </w:pPr>
      <w:r>
        <w:rPr>
          <w:b w:val="0"/>
          <w:i w:val="0"/>
        </w:rPr>
        <w:t>Higher-regulation deployments add operating constraints without changing the core architecture: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Requirement</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v3.2 treatment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Lifetime retention environments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Support storage sizing and retention policies for facilities that require multi-decade data preservation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Hazard-aware operations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Where elevated hazards are in scope (radiation dose, hot / molten material, hazardous-area gas, confined space), robot mission records and anomaly packets carry the relevant exposure / hazard context for auditability</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Mandatory on-premise profile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High-regulation deployments (e.g., nuclear, hot-cell, regulated hazardous-area sites) default to on-premise / air-gapped operation with no cloud exception path</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Connector hardening</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SAP PM, Maximo, and similar enterprise connectors follow customer authentication and certificate standards rather than introducing proprietary trust models</w:t>
            </w:r>
          </w:p>
        </w:tc>
      </w:tr>
    </w:tbl>
    <w:p>
      <w:pPr>
        <w:spacing w:before="40" w:after="120"/>
      </w:pPr>
    </w:p>
    <w:p>
      <w:pPr>
        <w:pStyle w:val="Heading1"/>
      </w:pPr>
      <w:r>
        <w:rPr>
          <w:b w:val="0"/>
          <w:i w:val="0"/>
        </w:rPr>
        <w:t>Partner-Integrated Delivery Model</w:t>
      </w:r>
    </w:p>
    <w:p>
      <w:pPr>
        <w:spacing w:before="0" w:after="120"/>
      </w:pPr>
      <w:r>
        <w:rPr>
          <w:b w:val="0"/>
          <w:i w:val="0"/>
        </w:rPr>
        <w:t>Kav AI's customers do not buy a platform in isolation. They buy a working integrity / reliability program — anomalies that have been surfaced, reviewed by a qualified engineer, embedded in a Risk-Based Inspection (RBI) plan, and pushed into a CMMS / EAM work order. v3.3 formalizes a delivery model in which the Kav AI Platform (KAP) is the technology layer and a qualified mechanical-integrity / reliability engineering partner provides the human Integrity / Reliability Engineer panel.</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What changed in v3.3 The partner-integrated model has been used in pilot conversations since v3.0. v3.3 makes it a documented part of the</w:t>
            </w:r>
          </w:p>
          <w:p>
            <w:pPr>
              <w:spacing w:before="0" w:after="0"/>
            </w:pPr>
            <w:r>
              <w:rPr>
                <w:rFonts w:ascii="Arial" w:hAnsi="Arial"/>
                <w:b w:val="0"/>
                <w:i w:val="0"/>
                <w:color w:val="222222"/>
                <w:sz w:val="20"/>
              </w:rPr>
              <w:t>PRD because it has matured into a single, unified service delivery model that customers can ask for by name. The same model is offered with industry-appropriate engineering partners across hydrocarbons, metals, power, chemicals, and other heavy industry.</w:t>
            </w:r>
          </w:p>
        </w:tc>
      </w:tr>
    </w:tbl>
    <w:p>
      <w:pPr>
        <w:spacing w:before="40" w:after="120"/>
      </w:pPr>
    </w:p>
    <w:p>
      <w:pPr>
        <w:pStyle w:val="Heading2"/>
      </w:pPr>
      <w:r>
        <w:rPr>
          <w:b w:val="0"/>
          <w:i w:val="0"/>
        </w:rPr>
        <w:t>Why a partner channel exists</w:t>
      </w:r>
    </w:p>
    <w:p>
      <w:pPr>
        <w:spacing w:before="0" w:after="120"/>
      </w:pPr>
      <w:r>
        <w:rPr>
          <w:b w:val="0"/>
          <w:i w:val="0"/>
        </w:rPr>
        <w:t>The Kav AI position on Human-in-the-Loop (HITL) validation is non-negotiable: no Critical severity output, no Remaining Life adjustment, and no automatic CMMS / EAM work order can be finalized without a qualified Integrity / Reliability Engineer's sign-off. That requirement creates a recurring engineering workload that some customers prefer to outsource to a specialist firm rather than staff in-house.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Without a partner</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With a partner</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Customer staffs and trains its own Integrity / Reliability Engineer panel for the HITL seat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Partner provides the panel as a managed service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Customer integrates KAP findings into its existing RBI / inspection-data-management program on its own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Partner embeds KAP findings into the RBI / inspection-data-management program as part of its core scope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Customer is responsible for failure-mechanism / operating-limit program work for in-scope assets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Partner produces and maintains failure-mechanism reviews and operating-limit recommendations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Procurement requires two separate contracts (platform + services)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Single integrated procurement vehicle</w:t>
            </w:r>
          </w:p>
        </w:tc>
      </w:tr>
    </w:tbl>
    <w:p>
      <w:pPr>
        <w:spacing w:before="40" w:after="120"/>
      </w:pPr>
    </w:p>
    <w:p>
      <w:pPr>
        <w:spacing w:before="0" w:after="120"/>
      </w:pPr>
      <w:r>
        <w:rPr>
          <w:b w:val="0"/>
          <w:i w:val="0"/>
        </w:rPr>
        <w:t>Both models are supported. The partner channel is an option for customers who want a unified procurement vehicle and faster time-to-RBI-impact.</w:t>
      </w:r>
    </w:p>
    <w:p>
      <w:pPr>
        <w:pStyle w:val="Heading2"/>
      </w:pPr>
      <w:r>
        <w:rPr>
          <w:b w:val="0"/>
          <w:i w:val="0"/>
        </w:rPr>
        <w:t>Reference partnership pattern</w:t>
      </w:r>
    </w:p>
    <w:p>
      <w:pPr>
        <w:spacing w:before="0" w:after="120"/>
      </w:pPr>
      <w:r>
        <w:rPr>
          <w:b w:val="0"/>
          <w:i w:val="0"/>
        </w:rPr>
        <w:t>Kav AI's reference partnerships follow a common shape — illustrated below using the partnership template that was first instantiated with a mechanical-integrity engineering firm in 2026 and is now applied with industry-appropriate engineering partners across other sectors (e.g., refractory and metals reliability specialists for steel and metals customers; power-cycle reliability specialists for power generation customers).</w:t>
      </w:r>
    </w:p>
    <w:p>
      <w:pPr>
        <w:pStyle w:val="Heading3"/>
      </w:pPr>
      <w:r>
        <w:rPr>
          <w:b w:val="0"/>
          <w:i w:val="0"/>
        </w:rPr>
        <w:t>What KAP provides</w:t>
      </w:r>
    </w:p>
    <w:p>
      <w:pPr>
        <w:spacing w:before="0" w:after="60"/>
        <w:ind w:left="504" w:hanging="288"/>
      </w:pPr>
      <w:r>
        <w:rPr>
          <w:b w:val="0"/>
        </w:rPr>
        <w:t xml:space="preserve">•  </w:t>
      </w:r>
      <w:r>
        <w:rPr>
          <w:b w:val="0"/>
          <w:i w:val="0"/>
        </w:rPr>
        <w:t>The Real-Time Integrity Intelligence System™ platform (Cloud SaaS, customer cloud tenant, or on-premise / air-gapped tier).</w:t>
      </w:r>
    </w:p>
    <w:p>
      <w:pPr>
        <w:spacing w:before="0" w:after="60"/>
        <w:ind w:left="504" w:hanging="288"/>
      </w:pPr>
      <w:r>
        <w:rPr>
          <w:b w:val="0"/>
        </w:rPr>
        <w:t xml:space="preserve">•  </w:t>
      </w:r>
      <w:r>
        <w:rPr>
          <w:b w:val="0"/>
          <w:i w:val="0"/>
        </w:rPr>
        <w:t>The 3D Gaussian Splatting facility model from the customer's existing inspection imagery.</w:t>
      </w:r>
    </w:p>
    <w:p>
      <w:pPr>
        <w:spacing w:before="0" w:after="60"/>
        <w:ind w:left="504" w:hanging="288"/>
      </w:pPr>
      <w:r>
        <w:rPr>
          <w:b w:val="0"/>
        </w:rPr>
        <w:t xml:space="preserve">•  </w:t>
      </w:r>
      <w:r>
        <w:rPr>
          <w:b w:val="0"/>
          <w:i w:val="0"/>
        </w:rPr>
        <w:t>The operating-limit / failure-mechanism six-stage analytical chain, including Stage 3.5 consistency gate and the cross-source correlation engine.</w:t>
      </w:r>
    </w:p>
    <w:p>
      <w:pPr>
        <w:spacing w:before="0" w:after="60"/>
        <w:ind w:left="504" w:hanging="288"/>
      </w:pPr>
      <w:r>
        <w:rPr>
          <w:b w:val="0"/>
        </w:rPr>
        <w:t xml:space="preserve">•  </w:t>
      </w:r>
      <w:r>
        <w:rPr>
          <w:b w:val="0"/>
          <w:i w:val="0"/>
        </w:rPr>
        <w:t>Multi-modal AI anomaly detection across RGB, thermal, specialty imagery (gas / OGI where applicable), acoustic, and operational data — surfaced through the natural-language operator interface.</w:t>
      </w:r>
    </w:p>
    <w:p>
      <w:pPr>
        <w:spacing w:before="0" w:after="60"/>
        <w:ind w:left="504" w:hanging="288"/>
      </w:pPr>
      <w:r>
        <w:rPr>
          <w:b w:val="0"/>
        </w:rPr>
        <w:t xml:space="preserve">•  </w:t>
      </w:r>
      <w:r>
        <w:rPr>
          <w:b w:val="0"/>
          <w:i w:val="0"/>
        </w:rPr>
        <w:t>The bidirectional CMMS / EAM / IDMS integration (SAP PM Q4 2026; GE Vernova APM, Hexagon ALI, IBM Maximo H2 2027).</w:t>
      </w:r>
    </w:p>
    <w:p>
      <w:pPr>
        <w:spacing w:before="0" w:after="60"/>
        <w:ind w:left="504" w:hanging="288"/>
      </w:pPr>
      <w:r>
        <w:rPr>
          <w:b w:val="0"/>
        </w:rPr>
        <w:t xml:space="preserve">•  </w:t>
      </w:r>
      <w:r>
        <w:rPr>
          <w:b w:val="0"/>
          <w:i w:val="0"/>
        </w:rPr>
        <w:t>All platform security, data-handling, and SLA commitments described in Deployment Architecture.</w:t>
      </w:r>
    </w:p>
    <w:p>
      <w:pPr>
        <w:pStyle w:val="Heading3"/>
      </w:pPr>
      <w:r>
        <w:rPr>
          <w:b w:val="0"/>
          <w:i w:val="0"/>
        </w:rPr>
        <w:t>What the partner provides</w:t>
      </w:r>
    </w:p>
    <w:p>
      <w:pPr>
        <w:spacing w:before="0" w:after="120"/>
      </w:pPr>
      <w:r>
        <w:rPr>
          <w:b w:val="0"/>
          <w:i w:val="0"/>
        </w:rPr>
        <w:t>The exact scope of partner-provided services varies by industry. The list below reflects the typical scope for a mechanical-integrity engineering partner; equivalent scopes exist for refractory / metals reliability, power-cycle reliability, and other industry-specific engineering disciplines.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Service area</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Scope of work</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Reactive engineering</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Inspection result interpretation, Fitness for Service (FFS), Failure &amp; Root Cause Analysis, day-to-day materials / corrosion / welding consultation, Fire / Heat / Hazard Assessment as applicable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Inspection management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Facility Inspection Program Management, Inspection Test Plans, Special Emphasis Programs, RBI Programming, isometric drawing maintenance, IDMS / EAM Support, Mechanical Integrity Audits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Advanced NDE &amp; monitoring</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Online Condition Monitoring guidance, Advanced NDE Technology Application, Inspection &amp; Reliability Standards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Materials &amp; degradation engineering</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Asset Material Selection, Degradation Mitigation, Operating-Limit Window recommendations, Operating-Limit Deviation Response &amp; Risk Management, Failure / Damage Mechanism Reviews, Welding Engineering, Refractory Engineering (where applicable)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Engineering projects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Project Design Support (materials selection, WPS reviews, mechanical datasheets), Project Field Support, Third-Party Fabrication Inspection, Engineering Specification Development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Training &amp; auditing</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Mechanical Integrity / Reliability training programs, audit support, compliance documentation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HITL validation seat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Partner engineers serve as the Integrity / Reliability Engineer panel for Stage 3.5 / Stage 4 confirmation of Critical and Tier-2 failure mechanism findings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RBI / IDMS embedding</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Partner embeds KAP findings into the customer's existing RBI program, IDMS / EAM records, and compliance workflows under the operator's chosen RBI methodology (API 580/581/584 in hydrocarbons; ISO 31000-aligned methodologies in other sectors)</w:t>
            </w:r>
          </w:p>
        </w:tc>
      </w:tr>
    </w:tbl>
    <w:p>
      <w:pPr>
        <w:spacing w:before="40" w:after="120"/>
      </w:pPr>
    </w:p>
    <w:p>
      <w:pPr>
        <w:pStyle w:val="Heading3"/>
      </w:pPr>
      <w:r>
        <w:rPr>
          <w:b w:val="0"/>
          <w:i w:val="0"/>
        </w:rPr>
        <w:t>The integrated workflow</w:t>
      </w:r>
    </w:p>
    <w:p>
      <w:pPr>
        <w:spacing w:before="0" w:after="120"/>
      </w:pPr>
      <w:r>
        <w:rPr>
          <w:b w:val="0"/>
          <w:i w:val="0"/>
        </w:rPr>
        <w:t>The end-to-end operational workflow follows the operating-limit / failure-mechanism six-stage analytical chain documented in the Integrity Analytical Chain section, with the partner explicitly placed at the Stage 3.5 / Stage 4 review seat: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Stage</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KAP responsibility</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Partner responsibility</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1–2: Ingestion &amp; QC, operating-limit classification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Multi-source data normalized and QC'd; ±500 ms timestamp alignment; operational readings compared against operating-limit definitions and scored by duration × intensity to prevent alarm fatigue.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 Failure mechanism mapping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Mechanisms mapped per the industry knowledge pack; Filter Skill rejects implausible mechanisms; Boundary of Automation auto-flags standard mechanisms while complex ones (e.g., HIC, NH₄Cl underdeposit, Creep, complex hydrogen-related degradation) are routed to partner review.</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Reviews complex / Tier-2 mechanisms; sign-off on auto-flagged outputs at agreed cadence.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3.5: Consistency gate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Three-way check: material-mechanism, rate-mechanism, evidence consistency, with cross-source correlation engine output as input.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Disposition for any </w:t>
            </w:r>
            <w:r>
              <w:rPr>
                <w:rFonts w:ascii="Arial" w:hAnsi="Arial"/>
                <w:b/>
                <w:i w:val="0"/>
                <w:color w:val="111111"/>
                <w:sz w:val="20"/>
              </w:rPr>
              <w:t>"INCONSISTENT — ENGINEERING REVIEW REQUIRED"</w:t>
            </w:r>
            <w:r>
              <w:rPr>
                <w:rFonts w:ascii="Arial" w:hAnsi="Arial"/>
                <w:b w:val="0"/>
                <w:i w:val="0"/>
                <w:color w:val="111111"/>
                <w:sz w:val="20"/>
              </w:rPr>
              <w:t xml:space="preserve"> flag before chain continues.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4: Physical validation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Cross-references AI findings with thickness measurements, thermal scans, specialty imagery, and robot-sourced thermal / acoustic / gas patrol evidence.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Validates AI findings against ground-truth NDT; advises on revised inspection technique if needed.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5: Risk quantification &amp; remaining life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RBI PoF × CoF; P90 Remaining Life with uncertainty bounds; benchmarked financial CoF using the operator's chosen reliability benchmarking framework.</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 review of final risk score and inspection interval before commitment.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6: Corrective action surfacing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Prioritized inspection plan and structured CMMS / EAM / IDMS write packet.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Confirms work-order content, escalation routing, and outage / shutdown alignment.</w:t>
            </w:r>
          </w:p>
        </w:tc>
      </w:tr>
    </w:tbl>
    <w:p>
      <w:pPr>
        <w:spacing w:before="40" w:after="120"/>
      </w:pPr>
    </w:p>
    <w:p>
      <w:pPr>
        <w:spacing w:before="0" w:after="120"/>
      </w:pPr>
      <w:r>
        <w:rPr>
          <w:b w:val="0"/>
          <w:i w:val="0"/>
        </w:rPr>
        <w:t>All outputs are recommendations to a qualified human operator. KAP never writes to the control system, never issues work orders autonomously, and never commands field equipment. Read-only enforcement is technical — OPC UA access rights restricted to Read / Subscribe; DMZ proxy rejects all Write / Call requests; firewall TCP/IP port restriction (4840 / 4843).</w:t>
      </w:r>
    </w:p>
    <w:p>
      <w:pPr>
        <w:pStyle w:val="Heading2"/>
      </w:pPr>
      <w:r>
        <w:rPr>
          <w:b w:val="0"/>
          <w:i w:val="0"/>
        </w:rPr>
        <w:t>Commercial framework for partner-integrated engagements</w:t>
      </w:r>
    </w:p>
    <w:p>
      <w:pPr>
        <w:spacing w:before="0" w:after="120"/>
      </w:pPr>
      <w:r>
        <w:rPr>
          <w:b w:val="0"/>
          <w:i w:val="0"/>
        </w:rPr>
        <w:t>The pilot framework, MSA framework, and subscription tiers in Appendices G and H apply unchanged in a partner-integrated engagement. The only commercial additions are: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Topic</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Treatment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Procurement vehicle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Single integrated proposal covering KAP subscription and partner engineering services. Customer may still elect to contract separately by request.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Pilot fee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Standard 90-day fixed-fee pilot, applied as credit against Year 1 subscription if the customer proceeds. Partner engineering hours scoped separately.</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Liability</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KAP liability cap remains as documented in MSA H.1. Partner liability follows the partner's own engineering services agreement.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ownership</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All facility data and inspection imagery remains the customer's property. KAP and partner each hold limited processing licenses for their respective scopes.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HITL seat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Documented as a partner deliverable in the integrated proposal so that the customer's procurement and audit teams can see who owns the engineer sign-off.</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Path to production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If pilot success criteria are met, the customer receives a production proposal — KAP plus partner — within 10 business days of the evaluation meeting.</w:t>
            </w:r>
          </w:p>
        </w:tc>
      </w:tr>
    </w:tbl>
    <w:p>
      <w:pPr>
        <w:spacing w:before="40" w:after="120"/>
      </w:pPr>
    </w:p>
    <w:p>
      <w:pPr>
        <w:pStyle w:val="Heading2"/>
      </w:pPr>
      <w:r>
        <w:rPr>
          <w:b w:val="0"/>
          <w:i w:val="0"/>
        </w:rPr>
        <w:t>Where this connects in the rest of the PRD</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Topic</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Where it lives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Pilot framework — 90-day timeline, success criteria, responsibilities matrix</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Appendix G</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MSA framework — liability cap, decision-support disclaimer, data ownership</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Appendix H</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Subscription tiers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Appendix H.2</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Operational workflow — Triage-to-Escalation Path that the partner sits inside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Operational Workflow — Anomaly-to-Action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Integrity Analytical Chain — six-stage chain that the partner co-owns from Stage 3.5</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Integrity Analytical Chain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Boundary of Automation — what partners must review by design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Integrity Analytical Chain — FR-RBI-02</w:t>
            </w:r>
          </w:p>
        </w:tc>
      </w:tr>
    </w:tbl>
    <w:p>
      <w:pPr>
        <w:spacing w:before="40" w:after="120"/>
      </w:pPr>
    </w:p>
    <w:p>
      <w:pPr>
        <w:pStyle w:val="Heading1"/>
      </w:pPr>
      <w:r>
        <w:rPr>
          <w:b w:val="0"/>
          <w:i w:val="0"/>
        </w:rPr>
        <w:t>Appendix A. Feature Summary</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1560"/>
        <w:gridCol w:w="1560"/>
        <w:gridCol w:w="1560"/>
        <w:gridCol w:w="1560"/>
        <w:gridCol w:w="1560"/>
        <w:gridCol w:w="1560"/>
      </w:tblGrid>
      <w:tr>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FR</w:t>
            </w:r>
          </w:p>
        </w:tc>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Feature</w:t>
            </w:r>
          </w:p>
        </w:tc>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Area</w:t>
            </w:r>
          </w:p>
        </w:tc>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Quarter</w:t>
            </w:r>
          </w:p>
        </w:tc>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Type</w:t>
            </w:r>
          </w:p>
        </w:tc>
        <w:tc>
          <w:tcPr>
            <w:tcW w:w="156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Priority</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FR-VIS-01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3D CAD model overlay</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FR-VIS-02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Geo-tagged assets &amp; images in 3D</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Contextual data chat Ph.0 — single-turn NL query (classify → SQL execute → report) over workspace data</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Critical</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FR-APP-13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Agent failure recovery — Supabase RLS/timeout, Gemini rate-limit/timeout, JWT expiry, and blob-storage retry handled without pipeline crash</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Critical</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FR-APP-14</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Contextual chat agent evaluation gate — classifier/executor/reporter accuracy benchmarks required before ship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FR-APP-15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Persona-tailored workspace chat scoping — Data Explorer vs Integrity Engineer chat views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FR-APP-16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Contextual chat SQL-injection &amp; malicious-input defense — DML/DDL blocking, injection-pattern rejection, workspace-scoped query firewall</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Critical</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FR-APP-03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Contextual data chat Ph.1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FR-APP-04</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Chat with 3D map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FR-APP-05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Interactive overlays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FR-APP-06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Evidence-bound reports generated from a worklist selection — the write-up cites the findings and notes it was built from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FR-APP-17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Asset-scoped chat focus — set an engineering asset tag (e.g. AB-106) as chat scope; queries ground on the resolved asset record, its findings, and its geo-vicinity</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FR-APP-18</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Assistant-initiated observations — on new campaign, patrol or engineering-change data the assistant composes unprompted observations into a per-engineer digest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Q1 2027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FR-APP-19</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Attention ranking — rank assets by attention debt: unreviewed evidence x cross-source and design corroboration x time since last review</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Q1 2027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FR-APP-20</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The assistant asks — when evidence is ambiguous or contradictory the assistant puts a specific question to the engineer rather than guessing or staying silent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H2 2027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FR-APP-21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Proactive coverage prompts — the existing coverage-gap and staleness outputs get an assistant voice, proposing what the next patrol could cover</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Low</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FR-SCN-01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OGI sensor ingestion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FR-SCN-02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Calibrated thermal ingestion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FR-SCN-03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Field survey readings ingestion — gas concentrations with ambient temperature, humidity and pressure, linked to assets as nearby context by distance and survey pass, screened against limits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FR-INT-01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OPC UA control-system / historian connector</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FR-INT-02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P&amp;ID database (SQL) connector — direct read (distinct from DEXPI ingestion, FR-CAD-06)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FR-INT-03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IDMS / EAM bidirectional integration specification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Product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Critical</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FR-INT-04</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SAP PM certified connector</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FR-ANO-01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Cross-modal anomaly detection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Research</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FR-ANO-02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Physical AI reasoning &amp; remediation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Research</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FR-MDA-01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Industry RAM benchmarking integration (Solomon for hydrocarbons; equivalents for power, metals, pulp &amp; paper, chemicals)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FR-MDA-02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Synthetic data generation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Research</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FR-SEC-01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SOC 2 Type II certification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Critical</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FR-SEC-02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Customer cloud tenant deployment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FR-SEC-03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Compliance management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FR-NAV-01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Full spatial navigation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FR-RBI-01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RBI inspection interval calculation (API 581 in hydrocarbons; ISO 31000-aligned methodologies in other sectors)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FR-RBI-02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Equipment class boundary of automation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Product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Filter Skill calibration &amp; FNR measurement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Critical</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Confidence score calibration protocol</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FR-AI-03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Chain-level consistency gate (Stage 3.5)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FR-AI-04</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Out-of-distribution (OOD) detector update cadence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FR-ROB-01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KRSI robot ingestion adapter</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Q1 2027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FR-ROB-02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Fixed infrastructure: navigation beacons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Infrastructure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FR-ROB-03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Fixed infrastructure: communication backbone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Infrastructure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FR-ROB-04</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Coverage orchestration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FR-ROB-05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Fleet intelligence analytics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 / 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FR-CAD-01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CAD geometry via open IFC4 (BIM STEP) standard</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FR-CAD-02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CAD version tracking and diff visualization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FR-CAD-03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As-built vs as-designed comparison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FR-CAD-04</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 change notification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FR-CAD-06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DEXPI open-standard P&amp;ID ingestion (equipment, nozzles, piping, connectivity)</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FR-CAD-07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Deterministic dual-tagging (legacy CAD ↔ operator / DEXPI tags) with asset cross-reference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FR-CAD-08</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Additional CAD formats (RVT / DGN) beyond IFC4</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FR-NUC-01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Hazard-aware inspection workflow (dose, heat, hot / molten material, hazardous-area gas, confined space)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FR-XSC-01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Cross-source correlation engine — promoted to named primitive (tag / match / score / surface)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Critical</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FR-XSC-02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Multi-source confirmed TPR &gt; 98% / FPR &lt; 2% target reporting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FR-PRT-01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Partner-integrated delivery model — single procurement vehicle, partner-provided HITL seat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 / Commercial</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Product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FR-PRT-02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Reference partnership — integrated proposal template (industry-appropriate engineering partner)</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Commercial</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Product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FR-APP-07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Web-based 3D inspection viewer (Cesium geospatial scene)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Critical</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FR-APP-08</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dashboard — organization / campaign / anomaly overview</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FR-APP-09</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Visual defect gallery — geo-tagged imagery, annotations &amp; anomaly bounding boxes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FR-EVI-01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RGB inspection imagery ingestion — EXIF / GPS provenance &amp; dataset scoping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FR-SEC-04</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Multi-tenant authentication &amp; workspace access control</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Critical</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FR-SEC-05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Tenant governance of analysis data — suggestions, decisions, and derived datasets stay tenant-scoped, deletable, and out of shared training without written authorization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FR-APP-10</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Automated agentic task coordination — multi-agent orchestration (planner / executor, tool routing)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FR-EVI-02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Multimodal evidence pipeline foundation — thermal / OGI / gas ingest (prototype)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FR-AI-05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First-generation AI chat assistant — natural-language query over inspection data (early, not-yet-reliable prototype)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FR-AI-06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Structured dataset-list responses — assistant answers with dataset collections render as DATASET_LIST cards on every certified engine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Q1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FR-AI-07</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Structured image-gallery responses — image-browsing answers carry image identities (id, dataset slug, filename, type) as IMAGE_GALLERY with click-through on every certified engine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Q1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FR-AI-08</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Server-side dataset-scope enforcement — scoped assistant queries return only in-scope entities, uniformly across engines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FR-AI-09</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Structured image-analysis responses — surface-analysis answers carry UUID-correlated per-image findings as IMAGE_ANALYSIS_RESULT with viewer annotation overlays, on engines that declare the capability</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FR-AI-10</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On-demand image analysis — a viewer control requests analysis of a selected image, authorized per image, without an assistant deciding to call a tool</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FR-AI-11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Annotation suggestion review — accept, reject, or recategorize model proposals; acceptance is annotation QA, not integrity confirmation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FR-AI-12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Durable collection analysis — a bounded run that outlives the page, with eligibility preview, resumable progress, cancellation, and per-image failures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FR-AI-13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Analysis provenance and review audit — every attempt records its producer; every review decision is appended, never overwritten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FR-AI-14</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Detection quality gate — no backend or skill revision becomes a production default without meeting the agreed protocol on a frozen, independently annotated set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Product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FR-APP-12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Gas measurement visualization — sensor-reading heatmap overlay on the 3D scene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Q4 2025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FR-APP-11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Provenance-cited chat answers — citations &amp; tool-execution timeline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FR-OPS-01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Work-order / recommendation export — markdown + CSV</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Q2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FR-DMR-01</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Evidence-grounded finding — a claim that an asset exhibits a condition, grounded in exactly one of a condition class or a catalogued failure mechanism, citing the images that show it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FR-DMR-02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Screening failure-mechanism review from the asset profile — credible catalogued mechanisms proposed as Tier-2 "possible" findings for an engineer to confirm or dismiss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FR-DMR-03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Finding correction and evidence curation — re-ground a finding, replace its notes, add or remove cited images, with every edit logged</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FR-OPS-02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 decision on a finding — confirm / dismiss / reinstate with verbatim reasoning, attributed by name, append-only and superseding; dismissals reversible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FR-OPS-03</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Campaign worklist — the findings and notes of one campaign as a single feed ordered by last change, with note kinds from a controlled vocabulary and note → finding promotion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FR-OPS-04</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Actions that name their finding — work orders and observations recorded with a finding reference, status open → scheduled → complete, amendable</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FR-OPS-05</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Campaign hand-off lifecycle — indexing → ready for review → in review → closed, with send-for-review, return-with-reason and a history timeline in both workspaces</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App</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Medium</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FR-CAD-09</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Image-to-asset attribution by depicted tag — OCR reads the equipment tag off the imagery, the engineer confirms or rejects, the decision propagates across RGB/thermal pairs; framed (field-of-view) and nearby (distance) images are context, not attribution</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r>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FR-APP-22</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Agent-operable integrity loop — the finding lifecycle (raise, correct, decide, curate) and actions exposed as tools that act as the signed-in user under RLS, with write guards and no decisions taken on the user's behalf</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Assistant</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Q3 2026</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Engineering</w:t>
            </w:r>
          </w:p>
        </w:tc>
        <w:tc>
          <w:tcPr>
            <w:tcW w:w="156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w:t>
            </w:r>
          </w:p>
        </w:tc>
      </w:tr>
    </w:tbl>
    <w:p>
      <w:pPr>
        <w:spacing w:before="40" w:after="120"/>
      </w:pPr>
    </w:p>
    <w:p>
      <w:pPr>
        <w:spacing w:before="40" w:after="160"/>
        <w:jc w:val="left"/>
      </w:pPr>
      <w:r>
        <w:rPr>
          <w:i/>
          <w:color w:val="666666"/>
          <w:sz w:val="19"/>
        </w:rPr>
        <w:t>Q4 2026* = research-dependent, contingent on Q2 spike outcomes.</w:t>
      </w:r>
    </w:p>
    <w:p>
      <w:pPr>
        <w:pStyle w:val="Heading1"/>
      </w:pPr>
      <w:r>
        <w:rPr>
          <w:b w:val="0"/>
          <w:i w:val="0"/>
        </w:rPr>
        <w:t>Appendix B. Research Classification and Spike Objectives</w:t>
      </w:r>
    </w:p>
    <w:p>
      <w:pPr>
        <w:spacing w:before="0" w:after="120"/>
      </w:pPr>
      <w:r>
        <w:rPr>
          <w:b w:val="0"/>
          <w:i w:val="0"/>
        </w:rPr>
        <w:t>Features classified as "research-dependent" follow a structured validation protocol before engineering commitment.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Feature ID</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Spike Objective</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Success Metric</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Fallback</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FR-ANO-01</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Test Vision Transformer (ViT) vs. CNN on sparse specialty-imagery / thermal defect data.</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TPR &gt; 85% at FPR &lt; 15% on M0/M1 benchmark.</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Defer to Q1 2027; rely on manual triage.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FR-ANO-02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Prototype RAG (Retrieval-Augmented Generation) vs. Structured Output Schemas for industry knowledge-pack remediation logic.</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&gt; 90% agreement with human Integrity / Reliability Engineer panel.</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Descriptive reporting only; no remediation advice.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FR-MDA-02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Evaluate physics-based simulation (e.g., thermal, gas plume, abrasion) for synthetic data generation in the relevant industry.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Frechet Inception Distance (FID) &lt; 50 on real vs synthetic.</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Manual labeling of third inspection campaign data.</w:t>
            </w:r>
          </w:p>
        </w:tc>
      </w:tr>
    </w:tbl>
    <w:p>
      <w:pPr>
        <w:spacing w:before="40" w:after="120"/>
      </w:pPr>
    </w:p>
    <w:p>
      <w:pPr>
        <w:pStyle w:val="Heading1"/>
      </w:pPr>
      <w:r>
        <w:rPr>
          <w:b w:val="0"/>
          <w:i w:val="0"/>
        </w:rPr>
        <w:t>Appendix C. Non-Functional Requirements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Category</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Requirement</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Target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Performance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AI query response time (P95)</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&lt; 3 seconds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Performance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3D model rendering (GTX 1660+)</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60 fps sustained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Scalability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Concurrent operators per facility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50 concurrent sessions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Security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Authentication and data isolation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Multi-tenant RLS; JWT with short-lived tokens; SOC 2 target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Reliability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Platform availability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99.5% uptime (excluding planned maintenance)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Deployment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On-premise / air-gapped operation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Full offline operation in on-premise tier (Q2 2027)</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Infrastructure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Navigation accuracy with fixed beacons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Within 10cm of onboard baseline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Infrastructure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Communication backbone uptime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99.5% across patrol zones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Performance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Cross-source correlation latency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&lt; 60 seconds per finding</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Scalability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High-endurance telemetry session duration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6 hours continuous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Regulated environments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Lifetime data retention profile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Supported for facility-lifetime retention deployments</w:t>
            </w:r>
          </w:p>
        </w:tc>
      </w:tr>
    </w:tbl>
    <w:p>
      <w:pPr>
        <w:spacing w:before="40" w:after="120"/>
      </w:pPr>
    </w:p>
    <w:p>
      <w:pPr>
        <w:pStyle w:val="Heading1"/>
      </w:pPr>
      <w:r>
        <w:rPr>
          <w:b w:val="0"/>
          <w:i w:val="0"/>
        </w:rPr>
        <w:t>Appendix D. Version History</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Version</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Date</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Summary</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v1.0</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Feb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Initial PRD — product overview, personas, and feature list.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v2.0</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Feb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Full feature cards for all 17 FRs, 9 sections, priority and phasing.</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v2.1</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Mar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Added Research vs. Engineering classification, spike recommendations.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v2.2</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Mar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Added disclaimer, complexity scoring, sorted summary table, document scope statement.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v2.3</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Mar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Full document restructure for executive and investor audience. Industry-agnostic reframing. Added SCADA competitor category. Roadmap extended to Q2–Q4 2026. Engineering detail moved to Technical Appendix.</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v2.4</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Mar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Added cover taglines. Named OPC UA as the Q3 SCADA integration protocol. Added OPC UA licensing open question. Added OPC UA, Historian, and SCADA to glossary.</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v2.5</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Mar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Incorporated industry expert integrity review feedback. Added SCADA-to-risk closed-loop analytical chain (IOWs, DMRs, physical validation, risk scoring, remaining-life estimates). Added Solomon Associates benchmarking. Added DMR, IOW, and Solomon Associates to glossary.</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Mar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Enterprise procurement edition. Added Section 5 (IOW/DMR chain with named architectural owner — the Data Retrieval Agent). Added Section 6 (deployment architecture: cloud SaaS, customer cloud tenant, on-premise/air-gapped tiers with IEC 62443 and OT/IT boundary design). Expanded competitive analysis to include Emerson Plantweb Optics/AMS, Hexagon ALI, and Aucerna. Added primary source citations for all market statistics. Added FR-SEC-02 (customer cloud tenant deployment) and FR-SEC-03 (compliance management) to feature summary.</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v2.7</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Mar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Expert Review Panel edition. Incorporated feedback from 8 expert personas. Added Section 5.3 (Analytical Rigor &amp; Confidence). Added Section 7 (Operational Workflow). Detailled protocol-level read-only enforcement and SCADA failure modes. Updated competitive landscape with Percepto, Hexagon ALI, and Aucerna refinements. Added AI safety and confidence scoring requirements. Added L1 Context Diagram (Figure 1) inline in Section 1 and L2 Container Diagram (Figure 5) inline in Section 5, both using C4 model convention.</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v2.8</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Mar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Integrity Chain Completion edition. Addresses four gaps from v2.7 expert review panel: (1) RBI — inspection plan output schema (FR-RBI-01), equipment class boundary of automation (FR-RBI-02), API 581 inspection interval calculation added to Stage 5, consistency gate added as Stage 3.5; (2) IDMS integration — bidirectional integration specification (FR-INT-03), SAP PM certified connector (FR-INT-04), orKsoft coexistence architecture; (3) Competitive positioning — orKsoft added to competitive table, Meridium added, Cognite risk response sharpened with concrete moat strategy, primary competitor benchmark reframed; (4) AI reliability — Filter Skill FPR/FNR targets (FR-AI-01), confidence calibration protocol (FR-AI-02), chain-level consistency gate (FR-AI-03), OOD update cadence (FR-AI-04). Calibrated PoF transition now defined by minimum dataset trigger.</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v2.9</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Apr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Strategic Positioning edition. Addresses six gaps from v2.9 executive review: (1) Category definition — Kav AI explicitly defined as a </w:t>
            </w:r>
            <w:r>
              <w:rPr>
                <w:rFonts w:ascii="Arial" w:hAnsi="Arial"/>
                <w:b w:val="0"/>
                <w:i/>
                <w:color w:val="111111"/>
                <w:sz w:val="20"/>
              </w:rPr>
              <w:t>Real-Time Integrity Intelligence System</w:t>
            </w:r>
            <w:r>
              <w:rPr>
                <w:rFonts w:ascii="Arial" w:hAnsi="Arial"/>
                <w:b w:val="0"/>
                <w:i w:val="0"/>
                <w:color w:val="111111"/>
                <w:sz w:val="20"/>
              </w:rPr>
              <w:t>, establishing a new product category; (2) Competitive moat — dedicated section in Executive Summary consolidating four pillars: closed-loop intelligence, data flywheel, deployment speed, end-to-end hardware-agnostic solution; (3) Data flywheel — elevated from buried competitive mention to standalone section with compounding model performance narrative and pricing alignment; (4) Differentiation language — closed-loop between process data, physics-based models, risk quantification, and recommended action made unmistakable throughout; (5) Industry focus — narrowed from industry-agnostic to refinery and petrochemical beachhead with phased expansion roadmap; (6) Naming standardization — unified from "Kav AI" / "KAP" variants to "Kav AI" across all sections. Executive Summary rewritten with stronger category-defining positioning. Subtitle updated to "Real-Time Integrity Intelligence System™".</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v3.2</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Apr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Strategic integration edition. Uses v2.9 as the narrative and diagrammatic baseline, restores the full visual layer that was reduced in v3.1, and incorporates the most material platform additions from later work: autonomous robot coverage via KRSI and fixed infrastructure, expanded CAD / engineering-data ingestion, world-model-backed as-built comparison, cross-source correlation, and regulated-environment deployment considerations.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v3.3</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Apr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Active Physical Intelligence edition. Keeps the v3.2 backbone, integrity architecture, and safety model intact. Consolidates external-facing material that matured between v3.2 and late April 2026: (1) </w:t>
            </w:r>
            <w:r>
              <w:rPr>
                <w:rFonts w:ascii="Arial" w:hAnsi="Arial"/>
                <w:b/>
                <w:i w:val="0"/>
                <w:color w:val="111111"/>
                <w:sz w:val="20"/>
              </w:rPr>
              <w:t>Active Physical Intelligence™</w:t>
            </w:r>
            <w:r>
              <w:rPr>
                <w:rFonts w:ascii="Arial" w:hAnsi="Arial"/>
                <w:b w:val="0"/>
                <w:i w:val="0"/>
                <w:color w:val="111111"/>
                <w:sz w:val="20"/>
              </w:rPr>
              <w:t xml:space="preserve"> adopted alongside the Real-Time Integrity Intelligence System™ category definition; (2) </w:t>
            </w:r>
            <w:r>
              <w:rPr>
                <w:rFonts w:ascii="Arial" w:hAnsi="Arial"/>
                <w:b/>
                <w:i w:val="0"/>
                <w:color w:val="111111"/>
                <w:sz w:val="20"/>
              </w:rPr>
              <w:t>Scale &amp; Impact</w:t>
            </w:r>
            <w:r>
              <w:rPr>
                <w:rFonts w:ascii="Arial" w:hAnsi="Arial"/>
                <w:b w:val="0"/>
                <w:i w:val="0"/>
                <w:color w:val="111111"/>
                <w:sz w:val="20"/>
              </w:rPr>
              <w:t xml:space="preserve"> promoted to a dedicated section with MVP v0.2 facility-scale evidence (1,200 assets, 65% unit coverage, $750K–$1.5M avoided cost, ranked inspection set, CUI case study); (3) </w:t>
            </w:r>
            <w:r>
              <w:rPr>
                <w:rFonts w:ascii="Arial" w:hAnsi="Arial"/>
                <w:b/>
                <w:i w:val="0"/>
                <w:color w:val="111111"/>
                <w:sz w:val="20"/>
              </w:rPr>
              <w:t>cross-source correlation engine</w:t>
            </w:r>
            <w:r>
              <w:rPr>
                <w:rFonts w:ascii="Arial" w:hAnsi="Arial"/>
                <w:b w:val="0"/>
                <w:i w:val="0"/>
                <w:color w:val="111111"/>
                <w:sz w:val="20"/>
              </w:rPr>
              <w:t xml:space="preserve"> promoted from buried mention to named primitive (tag / match / score / surface) with explicit multi-source confirmed TPR &gt; 98% / FPR &lt; 2% target; (4) </w:t>
            </w:r>
            <w:r>
              <w:rPr>
                <w:rFonts w:ascii="Arial" w:hAnsi="Arial"/>
                <w:b/>
                <w:i w:val="0"/>
                <w:color w:val="111111"/>
                <w:sz w:val="20"/>
              </w:rPr>
              <w:t>Onboard SLAM vs Fixed Infrastructure</w:t>
            </w:r>
            <w:r>
              <w:rPr>
                <w:rFonts w:ascii="Arial" w:hAnsi="Arial"/>
                <w:b w:val="0"/>
                <w:i w:val="0"/>
                <w:color w:val="111111"/>
                <w:sz w:val="20"/>
              </w:rPr>
              <w:t xml:space="preserve"> architectural-shift table added to clarify navigation reliability, scaling cost, and registration accuracy; (5) </w:t>
            </w:r>
            <w:r>
              <w:rPr>
                <w:rFonts w:ascii="Arial" w:hAnsi="Arial"/>
                <w:b/>
                <w:i w:val="0"/>
                <w:color w:val="111111"/>
                <w:sz w:val="20"/>
              </w:rPr>
              <w:t>Partner-Integrated Delivery Model</w:t>
            </w:r>
            <w:r>
              <w:rPr>
                <w:rFonts w:ascii="Arial" w:hAnsi="Arial"/>
                <w:b w:val="0"/>
                <w:i w:val="0"/>
                <w:color w:val="111111"/>
                <w:sz w:val="20"/>
              </w:rPr>
              <w:t xml:space="preserve"> added as a documented procurement option; (6) </w:t>
            </w:r>
            <w:r>
              <w:rPr>
                <w:rFonts w:ascii="Arial" w:hAnsi="Arial"/>
                <w:b/>
                <w:i w:val="0"/>
                <w:color w:val="111111"/>
                <w:sz w:val="20"/>
              </w:rPr>
              <w:t>MVP demonstration sequence</w:t>
            </w:r>
            <w:r>
              <w:rPr>
                <w:rFonts w:ascii="Arial" w:hAnsi="Arial"/>
                <w:b w:val="0"/>
                <w:i w:val="0"/>
                <w:color w:val="111111"/>
                <w:sz w:val="20"/>
              </w:rPr>
              <w:t xml:space="preserve"> explicitly mapped onto M0–M3 platform milestones; (7) priority order </w:t>
            </w:r>
            <w:r>
              <w:rPr>
                <w:rFonts w:ascii="Arial" w:hAnsi="Arial"/>
                <w:b/>
                <w:i w:val="0"/>
                <w:color w:val="111111"/>
                <w:sz w:val="20"/>
              </w:rPr>
              <w:t>Filter Skill &gt; Stage 3.5 &gt; cross-source uplift</w:t>
            </w:r>
            <w:r>
              <w:rPr>
                <w:rFonts w:ascii="Arial" w:hAnsi="Arial"/>
                <w:b w:val="0"/>
                <w:i w:val="0"/>
                <w:color w:val="111111"/>
                <w:sz w:val="20"/>
              </w:rPr>
              <w:t xml:space="preserve"> restated to prevent misreading the correlation engine as a Filter Skill bypass; (8) </w:t>
            </w:r>
            <w:r>
              <w:rPr>
                <w:rFonts w:ascii="Arial" w:hAnsi="Arial"/>
                <w:b/>
                <w:i w:val="0"/>
                <w:color w:val="111111"/>
                <w:sz w:val="20"/>
              </w:rPr>
              <w:t>terminology</w:t>
            </w:r>
            <w:r>
              <w:rPr>
                <w:rFonts w:ascii="Arial" w:hAnsi="Arial"/>
                <w:b w:val="0"/>
                <w:i w:val="0"/>
                <w:color w:val="111111"/>
                <w:sz w:val="20"/>
              </w:rPr>
              <w:t xml:space="preserve"> — the asset-level spatial record previously referred to as "digital twin" is renamed </w:t>
            </w:r>
            <w:r>
              <w:rPr>
                <w:rFonts w:ascii="Arial" w:hAnsi="Arial"/>
                <w:b/>
                <w:i w:val="0"/>
                <w:color w:val="111111"/>
                <w:sz w:val="20"/>
              </w:rPr>
              <w:t>world model</w:t>
            </w:r>
            <w:r>
              <w:rPr>
                <w:rFonts w:ascii="Arial" w:hAnsi="Arial"/>
                <w:b w:val="0"/>
                <w:i w:val="0"/>
                <w:color w:val="111111"/>
                <w:sz w:val="20"/>
              </w:rPr>
              <w:t xml:space="preserve"> throughout the document (competitor product references, e.g. NVIDIA Omniverse "industrial digital twins", retain their original wording). New FRs: FR-XSC-01, FR-XSC-02, FR-PRT-01, FR-PRT-02, FR-MVP-01. </w:t>
            </w:r>
            <w:r>
              <w:rPr>
                <w:rFonts w:ascii="Arial" w:hAnsi="Arial"/>
                <w:b/>
                <w:i w:val="0"/>
                <w:color w:val="111111"/>
                <w:sz w:val="20"/>
              </w:rPr>
              <w:t>(6) Proactive-assistant family filed</w:t>
            </w:r>
            <w:r>
              <w:rPr>
                <w:rFonts w:ascii="Arial" w:hAnsi="Arial"/>
                <w:b w:val="0"/>
                <w:i w:val="0"/>
                <w:color w:val="111111"/>
                <w:sz w:val="20"/>
              </w:rPr>
              <w:t xml:space="preserve"> — FR-APP-18 (assistant-initiated observations, digest-only), FR-APP-19 (attention ranking by attention debt), FR-APP-20 (the assistant asks) and FR-APP-21 (proactive coverage prompts), moving the family out of the candidate list in item (5) and into the catalogue. The alarm-fatigue contract lands with them: digest or Review surface only, never the Action or Critical dashboards; the same deterministic gates as a requested answer and stricter, since anything below the calibrated threshold is not surfaced proactively at all; a volume budget provisional until pilot calibration; and every item carrying its evidence, with acceptance rate as the success metric. FR-APP-20 is filed undated — it is blocked on the event contract having no state for </w:t>
            </w:r>
            <w:r>
              <w:rPr>
                <w:rFonts w:ascii="Arial" w:hAnsi="Arial"/>
                <w:b w:val="0"/>
                <w:i/>
                <w:color w:val="111111"/>
                <w:sz w:val="20"/>
              </w:rPr>
              <w:t>asked a human, awaiting an answer</w:t>
            </w:r>
            <w:r>
              <w:rPr>
                <w:rFonts w:ascii="Arial" w:hAnsi="Arial"/>
                <w:b w:val="0"/>
                <w:i w:val="0"/>
                <w:color w:val="111111"/>
                <w:sz w:val="20"/>
              </w:rPr>
              <w:t xml:space="preserve">, not on capacity. </w:t>
            </w:r>
            <w:r>
              <w:rPr>
                <w:rFonts w:ascii="Arial" w:hAnsi="Arial"/>
                <w:b/>
                <w:i w:val="0"/>
                <w:color w:val="111111"/>
                <w:sz w:val="20"/>
              </w:rPr>
              <w:t>(7) H1 2027 committed as M6 (Q1 2027, Repeat Visit) and M7 (Q2 2027, Continuous Coverage)</w:t>
            </w:r>
            <w:r>
              <w:rPr>
                <w:rFonts w:ascii="Arial" w:hAnsi="Arial"/>
                <w:b w:val="0"/>
                <w:i w:val="0"/>
                <w:color w:val="111111"/>
                <w:sz w:val="20"/>
              </w:rPr>
              <w:t xml:space="preserve">, with the horizon rolled to </w:t>
            </w:r>
            <w:r>
              <w:rPr>
                <w:rFonts w:ascii="Arial" w:hAnsi="Arial"/>
                <w:b/>
                <w:i w:val="0"/>
                <w:color w:val="111111"/>
                <w:sz w:val="20"/>
              </w:rPr>
              <w:t>H2 2027</w:t>
            </w:r>
            <w:r>
              <w:rPr>
                <w:rFonts w:ascii="Arial" w:hAnsi="Arial"/>
                <w:b w:val="0"/>
                <w:i w:val="0"/>
                <w:color w:val="111111"/>
                <w:sz w:val="20"/>
              </w:rPr>
              <w:t xml:space="preserve">. FR-ROB-01 joins M6; FR-ROB-02–05 and FR-NAV-01 join M7; </w:t>
            </w:r>
            <w:r>
              <w:rPr>
                <w:rFonts w:ascii="Arial" w:hAnsi="Arial"/>
                <w:b/>
                <w:i w:val="0"/>
                <w:color w:val="111111"/>
                <w:sz w:val="20"/>
              </w:rPr>
              <w:t>FR-NUC-01 moved to H2 2027 rather than being promoted with them</w:t>
            </w:r>
            <w:r>
              <w:rPr>
                <w:rFonts w:ascii="Arial" w:hAnsi="Arial"/>
                <w:b w:val="0"/>
                <w:i w:val="0"/>
                <w:color w:val="111111"/>
                <w:sz w:val="20"/>
              </w:rPr>
              <w:t xml:space="preserve"> — a different buyer, Phase 5 of the expansion roadmap, design-partner-gated. </w:t>
            </w:r>
            <w:r>
              <w:rPr>
                <w:rFonts w:ascii="Arial" w:hAnsi="Arial"/>
                <w:b/>
                <w:i w:val="0"/>
                <w:color w:val="111111"/>
                <w:sz w:val="20"/>
              </w:rPr>
              <w:t>(8) Quarter/half convention stated</w:t>
            </w:r>
            <w:r>
              <w:rPr>
                <w:rFonts w:ascii="Arial" w:hAnsi="Arial"/>
                <w:b w:val="0"/>
                <w:i w:val="0"/>
                <w:color w:val="111111"/>
                <w:sz w:val="20"/>
              </w:rPr>
              <w:t>: quarter labels mean committed work, half labels mean directional. H1 2027 Roadmap was doing both jobs at once, which is why committing the horizon forced a rename with no date changing; the new values Q1 2027 Target, Q2 2027 Target and H2 2027 Roadmap separate them.</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v3.4.g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May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General Industry procurement-readiness edition.</w:t>
            </w:r>
            <w:r>
              <w:rPr>
                <w:rFonts w:ascii="Arial" w:hAnsi="Arial"/>
                <w:b w:val="0"/>
                <w:i w:val="0"/>
                <w:color w:val="111111"/>
                <w:sz w:val="20"/>
              </w:rPr>
              <w:t xml:space="preserve"> Same architecture, milestones, safety model, and feature set as v3.4, presented in industry-neutral terms suitable for steel and metals, power generation, chemicals, pulp &amp; paper, cement, mining and minerals, and other process / heavy-manufacturing operators. Keeps the v3.4 procurement-readiness posture while adapting the market and competitive sections for steel: (1) beachhead positioning broadened from "downstream oil and gas" to asset-intensive industries with industry-specific knowledge packs configured per customer; (2) "IOW / DMR" terminology generalized to "operating-limit / failure-mechanism (OLW / FMR)" with hydrocarbons-specific terminology retained as illustrative examples rather than scope definitions; (3) RBI methodology references re-anchored on the operator's chosen RBI / inspection methodology; (4) industry RAM benchmarking generalized beyond Solomon Associates; (5) representative case study generalized to insulated / refractory-lined process equipment with steel-industry parallels; (6) competitive landscape rebalanced around AVEVA APM + PI System as the primary named steel incumbent and integration source; (7) sample equipment list expanded to include steel, power, pulp &amp; paper, cement, and mining assets; (8) deployment-architecture and connector lists expanded to call out heavy-industry control-system vendors alongside the original list.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v3.5.g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Jun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Roadmap timing revision (Q3 planning, 2026-06-11). </w:t>
            </w:r>
            <w:r>
              <w:rPr>
                <w:rFonts w:ascii="Arial" w:hAnsi="Arial"/>
                <w:b/>
                <w:i w:val="0"/>
                <w:color w:val="111111"/>
                <w:sz w:val="20"/>
              </w:rPr>
              <w:t>Control-system/OPC UA integration and the OLW/FMR analytical chain moved from Q3 to Q4 2026</w:t>
            </w:r>
            <w:r>
              <w:rPr>
                <w:rFonts w:ascii="Arial" w:hAnsi="Arial"/>
                <w:b w:val="0"/>
                <w:i w:val="0"/>
                <w:color w:val="111111"/>
                <w:sz w:val="20"/>
              </w:rPr>
              <w:t xml:space="preserve"> — pilot operational-data access is not yet in place; Q3 secures that access so Q4 delivery starts warm. FR-INT-01, the glossary, the OPC UA qualification-scope note, the packaging table, and the Integrity Analytical Chain availability statements relabelled Q3 → Q4. CAD (IFC) ingestion and P&amp;ID tag-linkage pulled forward into Q3. No requirement content changed — timing only.</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v3.6.g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Jun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Accuracy &amp; open-standards precision revision (based on the v3.5 review), General Industry edition. (1) </w:t>
            </w:r>
            <w:r>
              <w:rPr>
                <w:rFonts w:ascii="Arial" w:hAnsi="Arial"/>
                <w:b/>
                <w:i w:val="0"/>
                <w:color w:val="111111"/>
                <w:sz w:val="20"/>
              </w:rPr>
              <w:t>CAD/P&amp;ID open standards named and elevated</w:t>
            </w:r>
            <w:r>
              <w:rPr>
                <w:rFonts w:ascii="Arial" w:hAnsi="Arial"/>
                <w:b w:val="0"/>
                <w:i w:val="0"/>
                <w:color w:val="111111"/>
                <w:sz w:val="20"/>
              </w:rPr>
              <w:t xml:space="preserve"> — the engineering-context layer now explicitly names IFC4 (BIM STEP) for physical geometry and DEXPI (XML) for logical P&amp;IDs, adds a deterministic dual-tagging layer reconciling legacy CAD tags with operator/DEXPI tags, and records 100% validation coverage on one example process unit (109 equipment assets). New FRs FR-CAD-06 (DEXPI ingestion), FR-CAD-07 (dual-tagging), and FR-CAD-08 (RVT/DGN); FR-CAD-01 re-scoped to IFC4 (validated); FR-INT-02 clarified as the P&amp;ID database (SQL) connector, distinct from DEXPI. Added DEXPI and IFC glossary entries and a Q3 ingestion row in the Journey section. No requirement scope or roadmap timing changed beyond naming and status precision. (2) </w:t>
            </w:r>
            <w:r>
              <w:rPr>
                <w:rFonts w:ascii="Arial" w:hAnsi="Arial"/>
                <w:b/>
                <w:i w:val="0"/>
                <w:color w:val="111111"/>
                <w:sz w:val="20"/>
              </w:rPr>
              <w:t>Operating-limit consistency fix</w:t>
            </w:r>
            <w:r>
              <w:rPr>
                <w:rFonts w:ascii="Arial" w:hAnsi="Arial"/>
                <w:b w:val="0"/>
                <w:i w:val="0"/>
                <w:color w:val="111111"/>
                <w:sz w:val="20"/>
              </w:rPr>
              <w:t xml:space="preserve"> — the Operations performance-target table still listed operating-limit (control-system) detection as a Q2 2026 target (a v3.5 oversight when control-system / OPC UA integration moved to Q4); relabelled to Q4 2026 to match FR-INT-01, the Journey time-series row, and the Integrity Analytical Chain. The main-edition geographic correction does not apply — the General Industry edition is already location- and sector-neutral.</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v3.7.g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Jun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Execution-layer &amp; architecture-diagram revision (closes the v3.6 deferred items). (1) </w:t>
            </w:r>
            <w:r>
              <w:rPr>
                <w:rFonts w:ascii="Arial" w:hAnsi="Arial"/>
                <w:b/>
                <w:i w:val="0"/>
                <w:color w:val="111111"/>
                <w:sz w:val="20"/>
              </w:rPr>
              <w:t>Capability architecture wired in</w:t>
            </w:r>
            <w:r>
              <w:rPr>
                <w:rFonts w:ascii="Arial" w:hAnsi="Arial"/>
                <w:b w:val="0"/>
                <w:i w:val="0"/>
                <w:color w:val="111111"/>
                <w:sz w:val="20"/>
              </w:rPr>
              <w:t xml:space="preserve"> — added the canonical capability catalogue (_data/capabilities.yaml: the five deep modules + cross-cutting concerns) and stamped every FR with a capability:, linted for requirement→capability traceability. (2) </w:t>
            </w:r>
            <w:r>
              <w:rPr>
                <w:rFonts w:ascii="Arial" w:hAnsi="Arial"/>
                <w:b/>
                <w:i w:val="0"/>
                <w:color w:val="111111"/>
                <w:sz w:val="20"/>
              </w:rPr>
              <w:t>Architecture diagrams regenerated</w:t>
            </w:r>
            <w:r>
              <w:rPr>
                <w:rFonts w:ascii="Arial" w:hAnsi="Arial"/>
                <w:b w:val="0"/>
                <w:i w:val="0"/>
                <w:color w:val="111111"/>
                <w:sz w:val="20"/>
              </w:rPr>
              <w:t xml:space="preserve"> — replaced the orphaned L1/L2 PNGs with generator-sourced C4 diagrams (System Context, Container) keyed to the capabilities; added the June 2026 architecture review and a capability-progress infographic. (3) </w:t>
            </w:r>
            <w:r>
              <w:rPr>
                <w:rFonts w:ascii="Arial" w:hAnsi="Arial"/>
                <w:b/>
                <w:i w:val="0"/>
                <w:color w:val="111111"/>
                <w:sz w:val="20"/>
              </w:rPr>
              <w:t>Open-questions register</w:t>
            </w:r>
            <w:r>
              <w:rPr>
                <w:rFonts w:ascii="Arial" w:hAnsi="Arial"/>
                <w:b w:val="0"/>
                <w:i w:val="0"/>
                <w:color w:val="111111"/>
                <w:sz w:val="20"/>
              </w:rPr>
              <w:t xml:space="preserve"> added, consolidating previously scattered unknowns (TBDs, provisional values, research-gated fallbacks). (4) </w:t>
            </w:r>
            <w:r>
              <w:rPr>
                <w:rFonts w:ascii="Arial" w:hAnsi="Arial"/>
                <w:b/>
                <w:i w:val="0"/>
                <w:color w:val="111111"/>
                <w:sz w:val="20"/>
              </w:rPr>
              <w:t>FR-ANO-02 re-tiered Critical → High</w:t>
            </w:r>
            <w:r>
              <w:rPr>
                <w:rFonts w:ascii="Arial" w:hAnsi="Arial"/>
                <w:b w:val="0"/>
                <w:i w:val="0"/>
                <w:color w:val="111111"/>
                <w:sz w:val="20"/>
              </w:rPr>
              <w:t xml:space="preserve"> — it was both Critical and research-gated; the Critical set drops from 7 to 6. (5) </w:t>
            </w:r>
            <w:r>
              <w:rPr>
                <w:rFonts w:ascii="Arial" w:hAnsi="Arial"/>
                <w:b/>
                <w:i w:val="0"/>
                <w:color w:val="111111"/>
                <w:sz w:val="20"/>
              </w:rPr>
              <w:t>Execution companions completed</w:t>
            </w:r>
            <w:r>
              <w:rPr>
                <w:rFonts w:ascii="Arial" w:hAnsi="Arial"/>
                <w:b w:val="0"/>
                <w:i w:val="0"/>
                <w:color w:val="111111"/>
                <w:sz w:val="20"/>
              </w:rPr>
              <w:t xml:space="preserve"> — user stories with Given/When/Then acceptance criteria now cover all 48 FRs; the product-metrics plan promoted to Living. No requirement scope or roadmap timing changed.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v3.8.g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Jul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Roadmap timing revision (2026-07-07 roadmap review). </w:t>
            </w:r>
            <w:r>
              <w:rPr>
                <w:rFonts w:ascii="Arial" w:hAnsi="Arial"/>
                <w:b/>
                <w:i w:val="0"/>
                <w:color w:val="111111"/>
                <w:sz w:val="20"/>
              </w:rPr>
              <w:t>Nine Q3 FRs moved Q3 → Q4 (M4 → M5), two capability sets whose verification is gated on process/operating data (SCADA — Q4 per the v3.5 move) and labeled campaign findings unavailable before Q4.</w:t>
            </w:r>
            <w:r>
              <w:rPr>
                <w:rFonts w:ascii="Arial" w:hAnsi="Arial"/>
                <w:b w:val="0"/>
                <w:i w:val="0"/>
                <w:color w:val="111111"/>
                <w:sz w:val="20"/>
              </w:rPr>
              <w:t xml:space="preserve"> (1) </w:t>
            </w:r>
            <w:r>
              <w:rPr>
                <w:rFonts w:ascii="Arial" w:hAnsi="Arial"/>
                <w:b/>
                <w:i w:val="0"/>
                <w:color w:val="111111"/>
                <w:sz w:val="20"/>
              </w:rPr>
              <w:t>Evidence Confidence</w:t>
            </w:r>
            <w:r>
              <w:rPr>
                <w:rFonts w:ascii="Arial" w:hAnsi="Arial"/>
                <w:b w:val="0"/>
                <w:i w:val="0"/>
                <w:color w:val="111111"/>
                <w:sz w:val="20"/>
              </w:rPr>
              <w:t xml:space="preserve">: FR-AI-01 (Filter Skill calibration &amp; FNR), FR-AI-02 (confidence calibration), FR-AI-03 (Stage 3.5 consistency gate), FR-AI-04 (OOD detector update cadence — additionally needs a held-out campaign as OOD ground truth plus an update cycle; a single campaign provides neither), FR-ANO-01 (cross-modal anomaly detection, research-gated), FR-XSC-01 (cross-source correlation engine). (2) </w:t>
            </w:r>
            <w:r>
              <w:rPr>
                <w:rFonts w:ascii="Arial" w:hAnsi="Arial"/>
                <w:b/>
                <w:i w:val="0"/>
                <w:color w:val="111111"/>
                <w:sz w:val="20"/>
              </w:rPr>
              <w:t>Integrity Analytical Chain</w:t>
            </w:r>
            <w:r>
              <w:rPr>
                <w:rFonts w:ascii="Arial" w:hAnsi="Arial"/>
                <w:b w:val="0"/>
                <w:i w:val="0"/>
                <w:color w:val="111111"/>
                <w:sz w:val="20"/>
              </w:rPr>
              <w:t xml:space="preserve">: FR-RBI-01 (API 581 inspection intervals), FR-RBI-02 (equipment class boundary of automation), FR-MDA-01 (Solomon Associates benchmarking) — API 581 risk/interval computation and benchmarking consume operating/process data. Gate rewording: M4 is now multi-sensor ingestion (OGI/thermal/gas stay Q3) + CAD/P&amp;ID engineering context + geo-anchoring + contextual chat phase 1 + IDMS workflow integration, with campaign data banked for the Q4 calibration; M5 gains automated detection, the evidence-confidence gates, and quantified inspection prioritization (API 581 RBI + Solomon benchmarking) ahead of the SCADA/IOW chain. The first labeled campaign (Houston) lands Q3 at the earliest. Detector code and the synthetic-data baseline (KAV-44) are unchanged and in place. Also adds </w:t>
            </w:r>
            <w:r>
              <w:rPr>
                <w:rFonts w:ascii="Arial" w:hAnsi="Arial"/>
                <w:b/>
                <w:i w:val="0"/>
                <w:color w:val="111111"/>
                <w:sz w:val="20"/>
              </w:rPr>
              <w:t>FR-APP-17 (asset-scoped chat focus, M4)</w:t>
            </w:r>
            <w:r>
              <w:rPr>
                <w:rFonts w:ascii="Arial" w:hAnsi="Arial"/>
                <w:b w:val="0"/>
                <w:i w:val="0"/>
                <w:color w:val="111111"/>
                <w:sz w:val="20"/>
              </w:rPr>
              <w:t xml:space="preserve"> — set an engineering asset tag (e.g. AB-106) as chat scope; queries ground on the resolved asset record, its findings, and its geo-vicinity; builds on FR-CAD-07 dual-tagging and FR-VIS-02 geo-tagged assets (catalogue 61 → 62). The capability was implicit in the P&amp;ID open-standards work and is now recorded explicitly. No other requirement content changed.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v3.9.g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Sep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Consistency &amp; audit-trail revision (Q2 close-out, 2026-09-01), General Industry edition — mirrors the main edition's v3.9. </w:t>
            </w:r>
            <w:r>
              <w:rPr>
                <w:rFonts w:ascii="Arial" w:hAnsi="Arial"/>
                <w:b/>
                <w:i w:val="0"/>
                <w:color w:val="111111"/>
                <w:sz w:val="20"/>
              </w:rPr>
              <w:t>No scope changes.</w:t>
            </w:r>
            <w:r>
              <w:rPr>
                <w:rFonts w:ascii="Arial" w:hAnsi="Arial"/>
                <w:b w:val="0"/>
                <w:i w:val="0"/>
                <w:color w:val="111111"/>
                <w:sz w:val="20"/>
              </w:rPr>
              <w:t xml:space="preserve"> (1) Retroactive catalogue record: post-v3.8 additions (FR-AI-05–14, FR-SEC-05; FR-APP-04 → Q4/M5) recorded; catalogue 62 → 72 entries, 71 active after the FR-CAD-05 retirement. (2) FR-CAD-05 retired as a duplicate of FR-XSC-01. (3) Air-gapped timing resolved: Journey now carries customer cloud tenant (Q4) with air-gapped on the H1 2027 roadmap, matching Deployment, Appendix C, and H.2. (4) On-prem hardware reconciled: the Deployment tier's figure includes self-hosted LLM inference; F.6's footprint excludes it. (5) SC-5 pilot latency annotated as deliberately looser than the Appendix C product target. (6) M3 statuses set from a source-code audit of the production branch (see the main edition's v3.9 entry for the full record). (7) Third-campaign correction: the campaign is planned, not executing; the near-term data path is the operator's existing inspection data. (8) Quarter formats normalized and the glossary F-APP-02 typo fixed.</w:t>
            </w:r>
          </w:p>
        </w:tc>
      </w:tr>
    </w:tbl>
    <w:p>
      <w:pPr>
        <w:spacing w:before="40" w:after="120"/>
      </w:pP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v3.10.g</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Sep 2026</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 xml:space="preserve">Q3 timing &amp; simulated-data revision, General Industry edition — mirrors the main edition's v3.10. Catalogue unchanged in size: </w:t>
            </w:r>
            <w:r>
              <w:rPr>
                <w:rFonts w:ascii="Arial" w:hAnsi="Arial"/>
                <w:b/>
                <w:i w:val="0"/>
                <w:color w:val="FFFFFF"/>
                <w:sz w:val="20"/>
              </w:rPr>
              <w:t>71 active</w:t>
            </w:r>
            <w:r>
              <w:rPr>
                <w:rFonts w:ascii="Arial" w:hAnsi="Arial"/>
                <w:b/>
                <w:i w:val="0"/>
                <w:color w:val="FFFFFF"/>
                <w:sz w:val="20"/>
              </w:rPr>
              <w:t xml:space="preserve"> FRs. (1) </w:t>
            </w:r>
            <w:r>
              <w:rPr>
                <w:rFonts w:ascii="Arial" w:hAnsi="Arial"/>
                <w:b/>
                <w:i w:val="0"/>
                <w:color w:val="FFFFFF"/>
                <w:sz w:val="20"/>
              </w:rPr>
              <w:t>FR-SCN-01 (OGI ingestion) moved Q3 → Q4 (M4 → M5)</w:t>
            </w:r>
            <w:r>
              <w:rPr>
                <w:rFonts w:ascii="Arial" w:hAnsi="Arial"/>
                <w:b/>
                <w:i w:val="0"/>
                <w:color w:val="FFFFFF"/>
                <w:sz w:val="20"/>
              </w:rPr>
              <w:t xml:space="preserve">, decided rather than discovered: verification requires OGI footage and the milestone's evaluation campaign carries none. (2) The </w:t>
            </w:r>
            <w:r>
              <w:rPr>
                <w:rFonts w:ascii="Arial" w:hAnsi="Arial"/>
                <w:b/>
                <w:i w:val="0"/>
                <w:color w:val="FFFFFF"/>
                <w:sz w:val="20"/>
              </w:rPr>
              <w:t>Polycarbon Unit Audit</w:t>
            </w:r>
            <w:r>
              <w:rPr>
                <w:rFonts w:ascii="Arial" w:hAnsi="Arial"/>
                <w:b/>
                <w:i w:val="0"/>
                <w:color w:val="FFFFFF"/>
                <w:sz w:val="20"/>
              </w:rPr>
              <w:t xml:space="preserve"> campaign named as the M4 evaluation basis. (3) </w:t>
            </w:r>
            <w:r>
              <w:rPr>
                <w:rFonts w:ascii="Arial" w:hAnsi="Arial"/>
                <w:b/>
                <w:i w:val="0"/>
                <w:color w:val="FFFFFF"/>
                <w:sz w:val="20"/>
              </w:rPr>
              <w:t>New status value Demonstrated (simulated data)</w:t>
            </w:r>
            <w:r>
              <w:rPr>
                <w:rFonts w:ascii="Arial" w:hAnsi="Arial"/>
                <w:b/>
                <w:i w:val="0"/>
                <w:color w:val="FFFFFF"/>
                <w:sz w:val="20"/>
              </w:rPr>
              <w:t xml:space="preserve"> — runs end to end on generated rather than observed data, with no accuracy or calibration claim attached; introduced ahead of the Q4 simulated-telemetry work, and explicitly unavailable to the five accuracy-dependent FRs. (4) M4's promotion bar recorded: alpha-lineage capability closes the milestone as Alpha (prototype). (5) Candidate requirements recorded, not filed. No requirement scope changed beyond FR-SCN-01's timing.</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v3.11.g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Sep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Multi-modal workflow revision, General Industry edition — mirrors the main edition's v3.11. Catalogue unchanged in size: </w:t>
            </w:r>
            <w:r>
              <w:rPr>
                <w:rFonts w:ascii="Arial" w:hAnsi="Arial"/>
                <w:b/>
                <w:i w:val="0"/>
                <w:color w:val="111111"/>
                <w:sz w:val="20"/>
              </w:rPr>
              <w:t>75 active</w:t>
            </w:r>
            <w:r>
              <w:rPr>
                <w:rFonts w:ascii="Arial" w:hAnsi="Arial"/>
                <w:b w:val="0"/>
                <w:i w:val="0"/>
                <w:color w:val="111111"/>
                <w:sz w:val="20"/>
              </w:rPr>
              <w:t xml:space="preserve"> FRs; no requirement scope or timing changed. (1) </w:t>
            </w:r>
            <w:r>
              <w:rPr>
                <w:rFonts w:ascii="Arial" w:hAnsi="Arial"/>
                <w:b/>
                <w:i w:val="0"/>
                <w:color w:val="111111"/>
                <w:sz w:val="20"/>
              </w:rPr>
              <w:t>The integrity chain reframed as one chain with several entries</w:t>
            </w:r>
            <w:r>
              <w:rPr>
                <w:rFonts w:ascii="Arial" w:hAnsi="Arial"/>
                <w:b w:val="0"/>
                <w:i w:val="0"/>
                <w:color w:val="111111"/>
                <w:sz w:val="20"/>
              </w:rPr>
              <w:t xml:space="preserve"> — modality-agnostic at entry, entered today from inspection evidence (RGB and thermal campaign imagery run Stages 1–4 and 6 end to end as a functional prototype: attributed intake, candidate screening, evidence-grounded findings on the industry failure-mechanism catalogue, an append-only engineering decision log, actions, a campaign worklist, evidence-bound reports and a campaign hand-off lifecycle, each step also operable by an AI agent acting as the signed-in user) and, from Q4 2026, from operational telemetry. The section's roadmap banner, introduction, owner callout and stage-table note now say so; the telemetry stage table is kept as the Q4 commitment. (2) </w:t>
            </w:r>
            <w:r>
              <w:rPr>
                <w:rFonts w:ascii="Arial" w:hAnsi="Arial"/>
                <w:b/>
                <w:i w:val="0"/>
                <w:color w:val="111111"/>
                <w:sz w:val="20"/>
              </w:rPr>
              <w:t>A modality ladder and a stage-by-modality matrix</w:t>
            </w:r>
            <w:r>
              <w:rPr>
                <w:rFonts w:ascii="Arial" w:hAnsi="Arial"/>
                <w:b w:val="0"/>
                <w:i w:val="0"/>
                <w:color w:val="111111"/>
                <w:sz w:val="20"/>
              </w:rPr>
              <w:t xml:space="preserve"> added to the Integrity Analytical Chain section — inspection imagery (now), field survey readings (Q3; gas with ambient temperature, humidity and pressure, the chain's first operating-condition input, attached to assets as nearby context and never as attribution), further imaging modalities (Q4), process telemetry (Q4), thickness measurements via IDMS / EAM (Q3 spec / Q4 connector), robot patrol (Q1 2027) — every cell in the shared status vocabulary. (3) </w:t>
            </w:r>
            <w:r>
              <w:rPr>
                <w:rFonts w:ascii="Arial" w:hAnsi="Arial"/>
                <w:b/>
                <w:i w:val="0"/>
                <w:color w:val="111111"/>
                <w:sz w:val="20"/>
              </w:rPr>
              <w:t>Honesty boundaries</w:t>
            </w:r>
            <w:r>
              <w:rPr>
                <w:rFonts w:ascii="Arial" w:hAnsi="Arial"/>
                <w:b w:val="0"/>
                <w:i w:val="0"/>
                <w:color w:val="111111"/>
                <w:sz w:val="20"/>
              </w:rPr>
              <w:t xml:space="preserve">: Stage 5 (quantified risk and remaining life) is not derivable from imagery and stays Q4 for every modality; the inspection path is Alpha (prototype), exercised on a small number of findings rather than a campaign. (4) </w:t>
            </w:r>
            <w:r>
              <w:rPr>
                <w:rFonts w:ascii="Arial" w:hAnsi="Arial"/>
                <w:b/>
                <w:i w:val="0"/>
                <w:color w:val="111111"/>
                <w:sz w:val="20"/>
              </w:rPr>
              <w:t>Narrative homes</w:t>
            </w:r>
            <w:r>
              <w:rPr>
                <w:rFonts w:ascii="Arial" w:hAnsi="Arial"/>
                <w:b w:val="0"/>
                <w:i w:val="0"/>
                <w:color w:val="111111"/>
                <w:sz w:val="20"/>
              </w:rPr>
              <w:t xml:space="preserve">: an Executive Summary sentence on the modality-by-modality build and a reworded identity sentence; a Journey Q3 row "Inspection-evidence entry to the integrity chain"; the survey-readings and control-system rows reworded as entries to the same chain. (5) </w:t>
            </w:r>
            <w:r>
              <w:rPr>
                <w:rFonts w:ascii="Arial" w:hAnsi="Arial"/>
                <w:b/>
                <w:i w:val="0"/>
                <w:color w:val="111111"/>
                <w:sz w:val="20"/>
              </w:rPr>
              <w:t>Candidate requirements recorded, not filed</w:t>
            </w:r>
            <w:r>
              <w:rPr>
                <w:rFonts w:ascii="Arial" w:hAnsi="Arial"/>
                <w:b w:val="0"/>
                <w:i w:val="0"/>
                <w:color w:val="111111"/>
                <w:sz w:val="20"/>
              </w:rPr>
              <w:t xml:space="preserve"> — the FRs that would record the inspection path stage by stage are proposed in docs/proposals/20260903_prd_v311_inspection_integrity_loop.md and await decision.</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v3.12.g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Sep 2026</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Inspection-evidence integrity loop revision, General Industry edition — mirrors the main edition's v3.12. Catalogue </w:t>
            </w:r>
            <w:r>
              <w:rPr>
                <w:rFonts w:ascii="Arial" w:hAnsi="Arial"/>
                <w:b/>
                <w:i w:val="0"/>
                <w:color w:val="111111"/>
                <w:sz w:val="20"/>
              </w:rPr>
              <w:t>75 → 84 active</w:t>
            </w:r>
            <w:r>
              <w:rPr>
                <w:rFonts w:ascii="Arial" w:hAnsi="Arial"/>
                <w:b w:val="0"/>
                <w:i w:val="0"/>
                <w:color w:val="111111"/>
                <w:sz w:val="20"/>
              </w:rPr>
              <w:t xml:space="preserve"> FRs. (1) Nine FRs filed for the inspection path, one capability each, all Alpha (prototype): FR-DMR-01/02/03 (findings grounded on the industry failure-mechanism catalogue, screening review, correction and evidence curation), FR-OPS-02/03/04/05 (engineering decision log, campaign worklist, actions naming their finding, campaign hand-off lifecycle), FR-CAD-09 (image-to-asset attribution by depicted tag), FR-APP-22 (the agent-operable loop). (2) FR-APP-06 → Alpha (prototype), re-worded to evidence-bound reports from a worklist selection; FR-SCN-03 re-scoped to field survey readings with ambient conditions. (3) MVP v0.4 split into v0.4 </w:t>
            </w:r>
            <w:r>
              <w:rPr>
                <w:rFonts w:ascii="Arial" w:hAnsi="Arial"/>
                <w:b w:val="0"/>
                <w:i/>
                <w:color w:val="111111"/>
                <w:sz w:val="20"/>
              </w:rPr>
              <w:t>Closed loop on inspection evidence</w:t>
            </w:r>
            <w:r>
              <w:rPr>
                <w:rFonts w:ascii="Arial" w:hAnsi="Arial"/>
                <w:b w:val="0"/>
                <w:i w:val="0"/>
                <w:color w:val="111111"/>
                <w:sz w:val="20"/>
              </w:rPr>
              <w:t xml:space="preserve"> (M4, prototype) and v0.5 </w:t>
            </w:r>
            <w:r>
              <w:rPr>
                <w:rFonts w:ascii="Arial" w:hAnsi="Arial"/>
                <w:b w:val="0"/>
                <w:i/>
                <w:color w:val="111111"/>
                <w:sz w:val="20"/>
              </w:rPr>
              <w:t>Closed loop with process context</w:t>
            </w:r>
            <w:r>
              <w:rPr>
                <w:rFonts w:ascii="Arial" w:hAnsi="Arial"/>
                <w:b w:val="0"/>
                <w:i w:val="0"/>
                <w:color w:val="111111"/>
                <w:sz w:val="20"/>
              </w:rPr>
              <w:t xml:space="preserve"> (M5). (4) The inspection-evidence integrity loop is a subscription-tier row included in every tier; the operating-limit / failure-mechanism telemetry entry is Professional and above from Q4 2026 (this edition's row had still said Q3). (5) Alpha counted beside delivered in the derived artifacts; the M6 gate reworded.</w:t>
            </w:r>
          </w:p>
        </w:tc>
      </w:tr>
    </w:tbl>
    <w:p>
      <w:pPr>
        <w:spacing w:before="40" w:after="120"/>
      </w:pPr>
    </w:p>
    <w:p>
      <w:pPr>
        <w:pStyle w:val="Heading1"/>
      </w:pPr>
      <w:r>
        <w:rPr>
          <w:b w:val="0"/>
          <w:i w:val="0"/>
        </w:rPr>
        <w:t>Appendix E. Glossary</w:t>
      </w:r>
    </w:p>
    <w:p>
      <w:pPr>
        <w:spacing w:before="0" w:after="120"/>
      </w:pPr>
      <w:r>
        <w:rPr>
          <w:b/>
          <w:i w:val="0"/>
        </w:rPr>
        <w:t>3DGS</w:t>
      </w:r>
      <w:r>
        <w:rPr>
          <w:b w:val="0"/>
          <w:i w:val="0"/>
        </w:rPr>
        <w:t xml:space="preserve">  3D Gaussian Splatting — a photorealistic 3D rendering technique used to create navigable facility models from drone imagery.</w:t>
      </w:r>
    </w:p>
    <w:p>
      <w:pPr>
        <w:spacing w:before="0" w:after="120"/>
      </w:pPr>
      <w:r>
        <w:rPr>
          <w:b/>
          <w:i w:val="0"/>
        </w:rPr>
        <w:t>ADR</w:t>
      </w:r>
      <w:r>
        <w:rPr>
          <w:b w:val="0"/>
          <w:i w:val="0"/>
        </w:rPr>
        <w:t xml:space="preserve">  Architecture Decision Record — a formal document capturing a technical decision, its rationale, and consequences.</w:t>
      </w:r>
    </w:p>
    <w:p>
      <w:pPr>
        <w:spacing w:before="0" w:after="120"/>
      </w:pPr>
      <w:r>
        <w:rPr>
          <w:b/>
          <w:i w:val="0"/>
        </w:rPr>
        <w:t>AG-UI</w:t>
      </w:r>
      <w:r>
        <w:rPr>
          <w:b w:val="0"/>
          <w:i w:val="0"/>
        </w:rPr>
        <w:t xml:space="preserve">  Agent-UI protocol used for streaming AI responses and structured events from the backend to the frontend.</w:t>
      </w:r>
    </w:p>
    <w:p>
      <w:pPr>
        <w:spacing w:before="0" w:after="120"/>
      </w:pPr>
      <w:r>
        <w:rPr>
          <w:b/>
          <w:i w:val="0"/>
        </w:rPr>
        <w:t>CDC</w:t>
      </w:r>
      <w:r>
        <w:rPr>
          <w:b w:val="0"/>
          <w:i w:val="0"/>
        </w:rPr>
        <w:t xml:space="preserve">  Contextual Data Chat — a feature set (FR-APP-02) that enables operators to query facility data in natural language.</w:t>
      </w:r>
    </w:p>
    <w:p>
      <w:pPr>
        <w:spacing w:before="0" w:after="120"/>
      </w:pPr>
      <w:r>
        <w:rPr>
          <w:b/>
          <w:i w:val="0"/>
        </w:rPr>
        <w:t>CMMS / EAM</w:t>
      </w:r>
      <w:r>
        <w:rPr>
          <w:b w:val="0"/>
          <w:i w:val="0"/>
        </w:rPr>
        <w:t xml:space="preserve">  Computerized Maintenance Management System / Enterprise Asset Management — the systems operators use to track work orders and asset maintenance history. Kav AI does not write to CMMS / EAM autonomously; all outputs are operator-confirmed recommendations.</w:t>
      </w:r>
    </w:p>
    <w:p>
      <w:pPr>
        <w:spacing w:before="0" w:after="120"/>
      </w:pPr>
      <w:r>
        <w:rPr>
          <w:b/>
          <w:i w:val="0"/>
        </w:rPr>
        <w:t>DEXPI</w:t>
      </w:r>
      <w:r>
        <w:rPr>
          <w:b w:val="0"/>
          <w:i w:val="0"/>
        </w:rPr>
        <w:t xml:space="preserve">  Data Exchange in the Process Industry — an open, vendor-neutral XML schema for exchanging logical P&amp;ID data (equipment, nozzles, piping, and connectivity). Kav AI ingests DEXPI to read P&amp;ID structure without proprietary lock-in.</w:t>
      </w:r>
    </w:p>
    <w:p>
      <w:pPr>
        <w:spacing w:before="0" w:after="120"/>
      </w:pPr>
      <w:r>
        <w:rPr>
          <w:b/>
          <w:i w:val="0"/>
        </w:rPr>
        <w:t>DMR / FMR</w:t>
      </w:r>
      <w:r>
        <w:rPr>
          <w:b w:val="0"/>
          <w:i w:val="0"/>
        </w:rPr>
        <w:t xml:space="preserve">  Damage / Failure Mechanism Review — a structured assessment of the degradation modes that can affect specific equipment based on its service conditions, materials, and operating history. "DMR" is the established term in hydrocarbons; equivalent reviews exist under industry-specific names in other sectors.</w:t>
      </w:r>
    </w:p>
    <w:p>
      <w:pPr>
        <w:spacing w:before="0" w:after="120"/>
      </w:pPr>
      <w:r>
        <w:rPr>
          <w:b/>
          <w:i w:val="0"/>
        </w:rPr>
        <w:t>IDMS</w:t>
      </w:r>
      <w:r>
        <w:rPr>
          <w:b w:val="0"/>
          <w:i w:val="0"/>
        </w:rPr>
        <w:t xml:space="preserve">  Inspection Data Management System — the platform that holds inspection-location history, inspection plans, compliance records, and RBI models. Kav AI integrates bidirectionally with IDMS / EAM platforms (SAP PM, IBM Maximo, GE Vernova APM, Hexagon ALI, and other industry-relevant systems).</w:t>
      </w:r>
    </w:p>
    <w:p>
      <w:pPr>
        <w:spacing w:before="0" w:after="120"/>
      </w:pPr>
      <w:r>
        <w:rPr>
          <w:b/>
          <w:i w:val="0"/>
        </w:rPr>
        <w:t>IEC 62443</w:t>
      </w:r>
      <w:r>
        <w:rPr>
          <w:b w:val="0"/>
          <w:i w:val="0"/>
        </w:rPr>
        <w:t xml:space="preserve">  The international standard series for industrial cybersecurity. Defines security levels and requirements for OT systems including DCS / SCADA and control networks.</w:t>
      </w:r>
    </w:p>
    <w:p>
      <w:pPr>
        <w:spacing w:before="0" w:after="120"/>
      </w:pPr>
      <w:r>
        <w:rPr>
          <w:b/>
          <w:i w:val="0"/>
        </w:rPr>
        <w:t>IFC / IFC4</w:t>
      </w:r>
      <w:r>
        <w:rPr>
          <w:b w:val="0"/>
          <w:i w:val="0"/>
        </w:rPr>
        <w:t xml:space="preserve">  Industry Foundation Classes — the open, vendor-neutral standard for Building Information Modeling (BIM) data exchange. Kav AI uses the IFC4 STEP format to represent physical process equipment (tanks, pumps, heat exchangers, compressors, and other plant equipment) and its geometry, materials, and properties.</w:t>
      </w:r>
    </w:p>
    <w:p>
      <w:pPr>
        <w:spacing w:before="0" w:after="120"/>
      </w:pPr>
      <w:r>
        <w:rPr>
          <w:b/>
          <w:i w:val="0"/>
        </w:rPr>
        <w:t>IOW / OLW</w:t>
      </w:r>
      <w:r>
        <w:rPr>
          <w:b w:val="0"/>
          <w:i w:val="0"/>
        </w:rPr>
        <w:t xml:space="preserve">  Integrity / Operating Limit Window — a set of process parameter limits within which equipment is expected to operate safely. Exceedances trigger the failure-mechanism analytical chain. "IOW" is the established term in hydrocarbons; equivalent operating-limit constructs exist under different names in other industries.</w:t>
      </w:r>
    </w:p>
    <w:p>
      <w:pPr>
        <w:spacing w:before="0" w:after="120"/>
      </w:pPr>
      <w:r>
        <w:rPr>
          <w:b/>
          <w:i w:val="0"/>
        </w:rPr>
        <w:t>KRSI</w:t>
      </w:r>
      <w:r>
        <w:rPr>
          <w:b w:val="0"/>
          <w:i w:val="0"/>
        </w:rPr>
        <w:t xml:space="preserve">  Kav AI Robot Sensor Interface — the robot-ingestion and normalization layer that accepts patrol telemetry and payload data from supported autonomous platforms.</w:t>
      </w:r>
    </w:p>
    <w:p>
      <w:pPr>
        <w:spacing w:before="0" w:after="120"/>
      </w:pPr>
      <w:r>
        <w:rPr>
          <w:b/>
          <w:i w:val="0"/>
        </w:rPr>
        <w:t>MCP</w:t>
      </w:r>
      <w:r>
        <w:rPr>
          <w:b w:val="0"/>
          <w:i w:val="0"/>
        </w:rPr>
        <w:t xml:space="preserve">  Model Context Protocol — the protocol that enables AI agents to call object detection models and other tools as structured, callable interfaces.</w:t>
      </w:r>
    </w:p>
    <w:p>
      <w:pPr>
        <w:spacing w:before="0" w:after="120"/>
      </w:pPr>
      <w:r>
        <w:rPr>
          <w:b/>
          <w:i w:val="0"/>
        </w:rPr>
        <w:t>OGI</w:t>
      </w:r>
      <w:r>
        <w:rPr>
          <w:b w:val="0"/>
          <w:i w:val="0"/>
        </w:rPr>
        <w:t xml:space="preserve">  Optical Gas Imaging — a camera technology that visualizes gas emissions invisible to standard cameras.</w:t>
      </w:r>
    </w:p>
    <w:p>
      <w:pPr>
        <w:spacing w:before="0" w:after="120"/>
      </w:pPr>
      <w:r>
        <w:rPr>
          <w:b/>
          <w:i w:val="0"/>
        </w:rPr>
        <w:t>OOD</w:t>
      </w:r>
      <w:r>
        <w:rPr>
          <w:b w:val="0"/>
          <w:i w:val="0"/>
        </w:rPr>
        <w:t xml:space="preserve">  Out-of-Distribution — inputs that differ materially from the training distribution. Kav AI's OOD detector flags these and routes them to a Review queue rather than surfacing them as production alerts.</w:t>
      </w:r>
    </w:p>
    <w:p>
      <w:pPr>
        <w:spacing w:before="0" w:after="120"/>
      </w:pPr>
      <w:r>
        <w:rPr>
          <w:b/>
          <w:i w:val="0"/>
        </w:rPr>
        <w:t>OPC UA</w:t>
      </w:r>
      <w:r>
        <w:rPr>
          <w:b w:val="0"/>
          <w:i w:val="0"/>
        </w:rPr>
        <w:t xml:space="preserve">  OPC Unified Architecture (IEC 62541) — the universal industrial middleware standard providing secure, platform-independent read access to DCS / SCADA systems, historians, and PLCs. Kav AI's Q4 control-system integration uses OPC UA.</w:t>
      </w:r>
    </w:p>
    <w:p>
      <w:pPr>
        <w:spacing w:before="0" w:after="120"/>
      </w:pPr>
      <w:r>
        <w:rPr>
          <w:b/>
          <w:i w:val="0"/>
        </w:rPr>
        <w:t>P&amp;ID</w:t>
      </w:r>
      <w:r>
        <w:rPr>
          <w:b w:val="0"/>
          <w:i w:val="0"/>
        </w:rPr>
        <w:t xml:space="preserve">  Piping and Instrumentation Diagram — the engineering drawing that documents process equipment, piping, and instrumentation.</w:t>
      </w:r>
    </w:p>
    <w:p>
      <w:pPr>
        <w:spacing w:before="0" w:after="120"/>
      </w:pPr>
      <w:r>
        <w:rPr>
          <w:b/>
          <w:i w:val="0"/>
        </w:rPr>
        <w:t>Purdue Model</w:t>
      </w:r>
      <w:r>
        <w:rPr>
          <w:b w:val="0"/>
          <w:i w:val="0"/>
        </w:rPr>
        <w:t xml:space="preserve">  A hierarchical reference model for industrial control system network architecture, defining five levels from field devices to enterprise systems. Kav AI operates at Level 3.5 (IT/OT DMZ) and above.</w:t>
      </w:r>
    </w:p>
    <w:p>
      <w:pPr>
        <w:spacing w:before="0" w:after="120"/>
      </w:pPr>
      <w:r>
        <w:rPr>
          <w:b/>
          <w:i w:val="0"/>
        </w:rPr>
        <w:t>RBI</w:t>
      </w:r>
      <w:r>
        <w:rPr>
          <w:b w:val="0"/>
          <w:i w:val="0"/>
        </w:rPr>
        <w:t xml:space="preserve">  Risk-Based Inspection — the methodology for prioritizing inspection effort based on the probability and consequence of equipment failure. Standards include API 580/581 in hydrocarbons and ISO 31000-aligned methodologies (and sector-specific equivalents) in other industries. Kav AI's operating-limit / failure-mechanism chain produces RBI-aligned risk scores and inspection plans against the operator's chosen methodology.</w:t>
      </w:r>
    </w:p>
    <w:p>
      <w:pPr>
        <w:spacing w:before="0" w:after="120"/>
      </w:pPr>
      <w:r>
        <w:rPr>
          <w:b/>
          <w:i w:val="0"/>
        </w:rPr>
        <w:t>RLS</w:t>
      </w:r>
      <w:r>
        <w:rPr>
          <w:b w:val="0"/>
          <w:i w:val="0"/>
        </w:rPr>
        <w:t xml:space="preserve">  Row-Level Security — database access control ensuring each operator can only access their organization's data.</w:t>
      </w:r>
    </w:p>
    <w:p>
      <w:pPr>
        <w:spacing w:before="0" w:after="120"/>
      </w:pPr>
      <w:r>
        <w:rPr>
          <w:b/>
          <w:i w:val="0"/>
        </w:rPr>
        <w:t>SCADA / DCS</w:t>
      </w:r>
      <w:r>
        <w:rPr>
          <w:b w:val="0"/>
          <w:i w:val="0"/>
        </w:rPr>
        <w:t xml:space="preserve">  Supervisory Control and Data Acquisition / Distributed Control System — the operational backbone of industrial facilities, collecting real-time sensor data from field devices. Kav AI reads from these systems via OPC UA; it never writes to or replaces them.</w:t>
      </w:r>
    </w:p>
    <w:p>
      <w:pPr>
        <w:spacing w:before="0" w:after="120"/>
      </w:pPr>
      <w:r>
        <w:rPr>
          <w:b/>
          <w:i w:val="0"/>
        </w:rPr>
        <w:t>Solomon Associates</w:t>
      </w:r>
      <w:r>
        <w:rPr>
          <w:b w:val="0"/>
          <w:i w:val="0"/>
        </w:rPr>
        <w:t xml:space="preserve">  An industry benchmarking organization maintaining comparative databases of refinery and petrochemical plant performance. Kav AI uses such benchmarks as one example of an industry RAM benchmarking framework. Equivalent benchmarking organizations exist for power, metals, pulp &amp; paper, chemicals, and other sectors; the appropriate benchmark is selected per customer industry.</w:t>
      </w:r>
    </w:p>
    <w:p>
      <w:pPr>
        <w:spacing w:before="0" w:after="120"/>
      </w:pPr>
      <w:r>
        <w:rPr>
          <w:b/>
          <w:i w:val="0"/>
        </w:rPr>
        <w:t>SOC 2</w:t>
      </w:r>
      <w:r>
        <w:rPr>
          <w:b w:val="0"/>
          <w:i w:val="0"/>
        </w:rPr>
        <w:t xml:space="preserve">  Service Organization Control 2 — a security certification audit framework widely required by enterprise customers.</w:t>
      </w:r>
    </w:p>
    <w:p>
      <w:pPr>
        <w:pStyle w:val="Heading1"/>
      </w:pPr>
      <w:r>
        <w:rPr>
          <w:b w:val="0"/>
          <w:i w:val="0"/>
        </w:rPr>
        <w:t>Appendix F. Technical Integration Specification</w:t>
      </w:r>
    </w:p>
    <w:p>
      <w:pPr>
        <w:spacing w:before="0" w:after="120"/>
      </w:pPr>
      <w:r>
        <w:rPr>
          <w:b w:val="0"/>
          <w:i w:val="0"/>
        </w:rPr>
        <w:t>This appendix defines the technical requirements and validated configurations for integrating Kav AI with an operator's existing OT and IT infrastructure. It is intended for the operator's OT engineering team and IT security department during procurement technical review.</w:t>
      </w:r>
    </w:p>
    <w:p>
      <w:pPr>
        <w:pStyle w:val="Heading2"/>
      </w:pPr>
      <w:r>
        <w:rPr>
          <w:b w:val="0"/>
          <w:i w:val="0"/>
        </w:rPr>
        <w:t>F.1  OPC UA connector — target configurations (roadmap)</w:t>
      </w:r>
    </w:p>
    <w:p>
      <w:pPr>
        <w:spacing w:before="0" w:after="120"/>
      </w:pPr>
      <w:r>
        <w:rPr>
          <w:b w:val="0"/>
          <w:i w:val="0"/>
        </w:rPr>
        <w:t>Kav AI's planned control-system integration will use OPC UA (IEC 62541) in read-only subscription mode. The connector is on the Q4 2026 roadmap; no live integration exists today. The following OPC UA server implementations are the target qualification scope: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OPC UA server</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Vendor</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Target version</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Status</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Kepware KEPServerEX</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PTC / Rockwell</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6.14+</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Roadmap</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Matrikon OPC Server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Honeywell / Matrikon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4.x</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Roadmap</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Ignition OPC UA module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Inductive Automation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8.1+</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Roadmap</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Prosys OPC UA Simulation Server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Prosys OMS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5.x</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Roadmap</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Emerson DeltaV OPC UA</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Emerson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14.x+</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Roadmap</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OSIsoft PI OPC UA</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AVEVA / OSIsoft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PI Server 2018+</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Roadmap</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Siemens S7 OPC UA</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Siemens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TIA Portal V16+</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Roadmap</w:t>
            </w:r>
          </w:p>
        </w:tc>
      </w:tr>
    </w:tbl>
    <w:p>
      <w:pPr>
        <w:spacing w:before="40" w:after="120"/>
      </w:pPr>
    </w:p>
    <w:p>
      <w:pPr>
        <w:pStyle w:val="Heading2"/>
      </w:pPr>
      <w:r>
        <w:rPr>
          <w:b w:val="0"/>
          <w:i w:val="0"/>
        </w:rPr>
        <w:t>F.2  Data ingestion parameters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Parameter</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Specification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Connection mode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OPC UA subscription (preferred) or polling. Subscription mode reduces network load and delivers change-of-value events in near real-time.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Polling frequency (polling mode)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Configurable: 1 second minimum, 60 seconds default. Sub-second polling is not supported in v1 of the connector.</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Subscription update rate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100ms minimum update rate supported by the OPC UA standard; Kav AI default is 1 second. Configurable per tag group.</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Authentication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Username/password or X.509 certificate authentication. Anonymous connections not permitted in production deployments.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Encryption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OPC UA Security Mode: SignAndEncrypt required. Minimum policy: Basic256Sha256.</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Network requirement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connector operates from IT side of OT/IT boundary. Operator must provision a read-only OPC UA endpoint accessible from the IT DMZ. Kav AI never initiates connections from OT side.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Tag capacity</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Up to 10,000 monitored tags per facility in initial release. Higher capacity available on request.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Historian backfill</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On initial connection, Kav AI requests up to 90 days of historical data where the historian supports OPC UA Historical Data Access (HDA). Configurable.</w:t>
            </w:r>
          </w:p>
        </w:tc>
      </w:tr>
    </w:tbl>
    <w:p>
      <w:pPr>
        <w:spacing w:before="40" w:after="120"/>
      </w:pPr>
    </w:p>
    <w:p>
      <w:pPr>
        <w:pStyle w:val="Heading2"/>
      </w:pPr>
      <w:r>
        <w:rPr>
          <w:b w:val="0"/>
          <w:i w:val="0"/>
        </w:rPr>
        <w:t>F.3  Historian compatibility</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Historian</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Interface</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Notes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OSIsoft PI / AVEVA PI</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OPC UA HDA or PI Web API</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PI Web API preferred for richer metadata. OPC UA HDA supported for air-gapped deployments where PI Web API is not exposed.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InfluxDB</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InfluxDB HTTP API v2</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Direct connector. No OPC UA required. Supports time-range queries and continuous subscriptions.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Honeywell Uniformance PHD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OPC UA HDA</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Validated in qualification. PHD OPC UA server configuration required.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Wonderware / AVEVA Historian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OPC UA HDA</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 qualification. AVEVA Historian 2020+ required.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TimescaleDB</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PostgreSQL wire protocol</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Direct connector. Suitable for operators using TimescaleDB as a modern historian.</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Generic SQL historian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JDBC / ODBC</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Available for historians with SQL read access. Schema mapping required during onboarding.</w:t>
            </w:r>
          </w:p>
        </w:tc>
      </w:tr>
    </w:tbl>
    <w:p>
      <w:pPr>
        <w:spacing w:before="40" w:after="120"/>
      </w:pPr>
    </w:p>
    <w:p>
      <w:pPr>
        <w:pStyle w:val="Heading2"/>
      </w:pPr>
      <w:r>
        <w:rPr>
          <w:b w:val="0"/>
          <w:i w:val="0"/>
        </w:rPr>
        <w:t>F.4  Visual sensor compatibility</w:t>
      </w:r>
    </w:p>
    <w:p>
      <w:pPr>
        <w:spacing w:before="0" w:after="120"/>
      </w:pPr>
      <w:r>
        <w:rPr>
          <w:b w:val="0"/>
          <w:i w:val="0"/>
        </w:rPr>
        <w:t>Kav AI is hardware-agnostic. The platform ingests data from any visual sensor source that produces output in supported formats.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Sensor type</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Supported formats</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Notes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RGB drone imagery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JPEG, PNG, RAW, MP4</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Compatible with DJI, Skydio, Parrot, Flyability, and any drone producing standard image formats.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Thermal (infrared)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RJPEG, TIFF, radiometric JPEG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Radiometric data required for calibrated temperature mapping. Compatible with FLIR, Teledyne, DJI Zenmuse XT2/H20T.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Optical Gas Imaging (OGI) — where applicable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MP4, AVI, MPEG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For industries that use OGI (e.g., hydrocarbons fugitive-emissions monitoring). Compatible with FLIR GF-series and Rebellion Photonics cameras. OGI video processed frame-by-frame.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Specialty industrial imagery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TBD per modality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Sector-specific imagery (e.g., refractory-thermography pyrometry images for steel furnaces, eddy-current arrays for tube-wall inspection) ingested via the same pipeline using a per-modality adapter.</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LiDAR point cloud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LAS, LAZ, E57, PLY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Used for spatial reference and CAD overlay alignment. Not required for core platform operation.</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Still photography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JPEG, PNG, HEIC</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Compatible with any digital camera. Used for confined-space inspection and close-up defect documentation.</w:t>
            </w:r>
          </w:p>
        </w:tc>
      </w:tr>
    </w:tbl>
    <w:p>
      <w:pPr>
        <w:spacing w:before="40" w:after="120"/>
      </w:pPr>
    </w:p>
    <w:p>
      <w:pPr>
        <w:pStyle w:val="Heading2"/>
      </w:pPr>
      <w:r>
        <w:rPr>
          <w:b w:val="0"/>
          <w:i w:val="0"/>
        </w:rPr>
        <w:t>F.5  Network and firewall requirements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Connection</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Protocol</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Port</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Direction</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platform → OPC UA server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OPC UA (TCP)</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4840 (default)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IT DMZ → OT DMZ. Operator provisions firewall rule.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platform → PI Web API</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HTTPS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443</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IT → IT/OT DMZ. Read-only.</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browser → Kav AI platform</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HTTPS / WSS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443</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Internet → Kav AI (cloud SaaS) or internal (on-prem).</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platform → LLM API</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HTTPS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443</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Cloud SaaS only. Absent in on-premise deployment.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platform → Kav AI update service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HTTPS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443</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Cloud/customer-cloud only. Not required air-gapped.</w:t>
            </w:r>
          </w:p>
        </w:tc>
      </w:tr>
    </w:tbl>
    <w:p>
      <w:pPr>
        <w:spacing w:before="40" w:after="120"/>
      </w:pP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Air-gapped deployment note</w:t>
            </w:r>
          </w:p>
          <w:p>
            <w:pPr>
              <w:spacing w:before="0" w:after="0"/>
            </w:pPr>
            <w:r>
              <w:rPr>
                <w:rFonts w:ascii="Arial" w:hAnsi="Arial"/>
                <w:b w:val="0"/>
                <w:i w:val="0"/>
                <w:color w:val="222222"/>
                <w:sz w:val="20"/>
              </w:rPr>
              <w:t>In on-premise / air-gapped deployments, the connection to the LLM API is eliminated. Kav AI runs a self-hosted language model within the operator's environment. The Kav AI update service connection is replaced by a manual container image delivery process. All other connections remain identical.</w:t>
            </w:r>
          </w:p>
        </w:tc>
      </w:tr>
    </w:tbl>
    <w:p>
      <w:pPr>
        <w:spacing w:before="40" w:after="120"/>
      </w:pPr>
    </w:p>
    <w:p>
      <w:pPr>
        <w:pStyle w:val="Heading2"/>
      </w:pPr>
      <w:r>
        <w:rPr>
          <w:b w:val="0"/>
          <w:i w:val="0"/>
        </w:rPr>
        <w:t>F.6  Infrastructure requirements by deployment tier</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Component</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Cloud SaaS</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Customer cloud tenant</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On-premise / air-gapped</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Compute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AI-managed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Azure/AWS VM (min 8 vCPU, 32 GB RAM)</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server (min 8 core, 32 GB RAM, GPU optional) — platform only, excluding self-hosted LLM inference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Storage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AI-managed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Operator-managed blob storage (Azure Blob / S3)</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NAS or SAN (min 2 TB per facility)</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Database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AI-managed Supabase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Operator-managed PostgreSQL or Azure Database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Operator-managed PostgreSQL (on-site)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LLM inference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cloud API</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Operator-provisioned API endpoint or Azure OpenAI</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Self-hosted model — adds the GPU requirement in the Deployment tier table (2x NVIDIA A100 80GB or equivalent)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Container runtime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AI-managed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Docker / Kubernetes (AKS or EKS)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Docker or Kubernetes on-prem</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Backup &amp; DR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SLA</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responsibility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responsibility</w:t>
            </w:r>
          </w:p>
        </w:tc>
      </w:tr>
    </w:tbl>
    <w:p>
      <w:pPr>
        <w:spacing w:before="40" w:after="120"/>
      </w:pPr>
    </w:p>
    <w:p>
      <w:pPr>
        <w:pStyle w:val="Heading1"/>
      </w:pPr>
      <w:r>
        <w:rPr>
          <w:b w:val="0"/>
          <w:i w:val="0"/>
        </w:rPr>
        <w:t>Appendix G.  Pilot Framework</w:t>
      </w:r>
    </w:p>
    <w:p>
      <w:pPr>
        <w:spacing w:before="0" w:after="120"/>
      </w:pPr>
      <w:r>
        <w:rPr>
          <w:b w:val="0"/>
          <w:i w:val="0"/>
        </w:rPr>
        <w:t>This appendix defines the standard 90-day proof-of-concept framework Kav AI uses for new enterprise customers. The pilot is designed to deliver a defensible, data-backed success evaluation before any long-term contract commitment is required.</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Pilot philosophy</w:t>
            </w:r>
          </w:p>
          <w:p>
            <w:pPr>
              <w:spacing w:before="0" w:after="0"/>
            </w:pPr>
            <w:r>
              <w:rPr>
                <w:rFonts w:ascii="Arial" w:hAnsi="Arial"/>
                <w:b w:val="0"/>
                <w:i w:val="0"/>
                <w:color w:val="222222"/>
                <w:sz w:val="20"/>
              </w:rPr>
              <w:t>The pilot is not a demo. It runs against the operator's real inspection data, their real facility, and their real operational questions. Success or failure is measured against criteria agreed in writing before the pilot begins — not assessed retrospectively by Kav AI.</w:t>
            </w:r>
          </w:p>
        </w:tc>
      </w:tr>
    </w:tbl>
    <w:p>
      <w:pPr>
        <w:spacing w:before="40" w:after="120"/>
      </w:pPr>
    </w:p>
    <w:p>
      <w:pPr>
        <w:pStyle w:val="Heading2"/>
      </w:pPr>
      <w:r>
        <w:rPr>
          <w:b w:val="0"/>
          <w:i w:val="0"/>
        </w:rPr>
        <w:t>G.1  Standard pilot scope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Parameter</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Standard definition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Asset class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One asset class per pilot, selected from the operator's highest-impact equipment (e.g., heat exchangers, pressure vessels, refractory-lined furnaces / kilns, large outdoor structures, conveyor systems, storage tanks). Scope expansion available in Phase 2. </w:t>
            </w:r>
            <w:r>
              <w:rPr>
                <w:rFonts w:ascii="Arial" w:hAnsi="Arial"/>
                <w:b/>
                <w:i w:val="0"/>
                <w:color w:val="111111"/>
                <w:sz w:val="20"/>
              </w:rPr>
              <w:t>Equipment class boundary of automation (see Integrity Analytical Chain section) must be communicated to the operator before pilot onboarding.</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Facility</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One facility or one defined area of a larger facility (e.g. a process unit, a mill bay, a furnace area, a tank farm, a kiln line, or a compressor / pump house).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sources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Visual inspection imagery (RGB, thermal, or specialty modalities applicable to the industry) from at least one completed inspection campaign. Control-system / historian data is optional in pilot phase; included if operator elects to connect.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Duration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90 days from data ingestion to success evaluation meeting.</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Operator commitment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Named pilot lead (integrity / reliability / inspection engineer or operations / maintenance manager). Access to historical inspection reports for cross-validation. Availability for three structured review sessions.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Kav AI commitment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Dedicated customer success engineer for the pilot duration. Weekly progress updates. Full data deletion on pilot conclusion if operator does not proceed.</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New facility onboarding</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The first campaign at a new facility is treated as baseline data collection. OOD flags are expected in Weeks 1–4 and are used to calibrate the detector, not to surface UNCERTAIN alerts. Detection performance in Weeks 5–12 represents steady-state.</w:t>
            </w:r>
          </w:p>
        </w:tc>
      </w:tr>
    </w:tbl>
    <w:p>
      <w:pPr>
        <w:spacing w:before="40" w:after="120"/>
      </w:pPr>
    </w:p>
    <w:p>
      <w:pPr>
        <w:pStyle w:val="Heading2"/>
      </w:pPr>
      <w:r>
        <w:rPr>
          <w:b w:val="0"/>
          <w:i w:val="0"/>
        </w:rPr>
        <w:t>G.2  Pilot timeline</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Week</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Phase</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Activities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1–2</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Onboarding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Data transfer and ingestion. OPC UA connector configuration (if control-system / historian access elected). 3D facility model generation from inspection imagery. Operator orientation session. </w:t>
            </w:r>
            <w:r>
              <w:rPr>
                <w:rFonts w:ascii="Arial" w:hAnsi="Arial"/>
                <w:b/>
                <w:i w:val="0"/>
                <w:color w:val="111111"/>
                <w:sz w:val="20"/>
              </w:rPr>
              <w:t>OOD baseline calibration begins.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3–4</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Baseline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generates initial anomaly detection results. Operator pilot lead reviews findings against known historical defects. Baseline accuracy established.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5–8</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Active use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uses Kav AI natural language interface for real integrity / reliability queries. AI response quality reviewed. Operating-limit / failure-mechanism chain activated if control-system / historian connected. Mid-pilot review session at Week 6.</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9–10</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Validation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Kav AI findings cross-validated against operator's existing inspection reports and CMMS records. False positive and false negative rate measured against agreed threshold. </w:t>
            </w:r>
            <w:r>
              <w:rPr>
                <w:rFonts w:ascii="Arial" w:hAnsi="Arial"/>
                <w:b/>
                <w:i w:val="0"/>
                <w:color w:val="111111"/>
                <w:sz w:val="20"/>
              </w:rPr>
              <w:t>Confidence calibration curve generated and reviewed.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11–12</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Evaluation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 xml:space="preserve">Success evaluation meeting. Structured debrief against all success criteria. </w:t>
            </w:r>
            <w:r>
              <w:rPr>
                <w:rFonts w:ascii="Arial" w:hAnsi="Arial"/>
                <w:b/>
                <w:i w:val="0"/>
                <w:color w:val="111111"/>
                <w:sz w:val="20"/>
              </w:rPr>
              <w:t>Calibration curve included as deliverable.</w:t>
            </w:r>
            <w:r>
              <w:rPr>
                <w:rFonts w:ascii="Arial" w:hAnsi="Arial"/>
                <w:b w:val="0"/>
                <w:i w:val="0"/>
                <w:color w:val="111111"/>
                <w:sz w:val="20"/>
              </w:rPr>
              <w:t xml:space="preserve"> Operator decision: proceed, extend, or conclude. Data deletion executed if not proceeding.</w:t>
            </w:r>
          </w:p>
        </w:tc>
      </w:tr>
    </w:tbl>
    <w:p>
      <w:pPr>
        <w:spacing w:before="40" w:after="120"/>
      </w:pPr>
    </w:p>
    <w:p>
      <w:pPr>
        <w:pStyle w:val="Heading2"/>
      </w:pPr>
      <w:r>
        <w:rPr>
          <w:b w:val="0"/>
          <w:i w:val="0"/>
        </w:rPr>
        <w:t>G.3  Success criteria</w:t>
      </w:r>
    </w:p>
    <w:p>
      <w:pPr>
        <w:spacing w:before="0" w:after="120"/>
      </w:pPr>
      <w:r>
        <w:rPr>
          <w:b w:val="0"/>
          <w:i w:val="0"/>
        </w:rPr>
        <w:t>Success criteria are agreed in writing between Kav AI and the operator before data ingestion begins. The standard criteria set is defined below. Operators may substitute or add criteria by agreement.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Criterion</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Standard threshold</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Measurement method</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SC-1</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Anomaly detection recall</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≥80% of known defects from historical inspection reports identified by Kav AI without operator prompt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Cross-validation against operator's existing inspection records</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SC-2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False positive rate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≤20% of Kav AI-flagged anomalies assessed as false positives by the operator pilot lead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Pilot lead review of all flagged items</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SC-3</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Query response quality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≥70% of natural language queries rated 'useful' or better by pilot lead on a 5-point scale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Structured query log reviewed at Week 6 and Week 12</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SC-4</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Time to first finding</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surfaces first anomaly finding within 48 hours of completed data ingestion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Timestamp of first flagged anomaly vs. ingestion completion</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SC-5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AI response latency (P95)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≤5 seconds for natural language query response (P95) — deliberately looser than the Appendix C product target (&lt; 3 s): the pilot runs on shared infrastructure against a not-yet-calibrated site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Automated latency logging during pilot period</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SC-6</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Control-system correlation (if connected)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≥1 confirmed correlation between an operating-limit exceedance from the control system / historian and a visual inspection anomaly at the same asset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pilot lead validation of correlated finding</w:t>
            </w:r>
          </w:p>
        </w:tc>
      </w:tr>
    </w:tbl>
    <w:p>
      <w:pPr>
        <w:spacing w:before="40" w:after="120"/>
      </w:pPr>
    </w:p>
    <w:p>
      <w:pPr>
        <w:pStyle w:val="Heading2"/>
      </w:pPr>
      <w:r>
        <w:rPr>
          <w:b w:val="0"/>
          <w:i w:val="0"/>
        </w:rPr>
        <w:t>G.4  Responsibilities matrix</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Activity</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Kav AI</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Operator</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transfer and ingestion setup</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Provides ingestion pipeline and documentation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Provides inspection data in supported format</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OPC UA connector configuration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Provides connector software and configuration guide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Provisions read-only OPC UA endpoint on the operator's control-system / historian DMZ; configures firewall</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3D facility model generation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Processes imagery and generates 3D model</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Provides imagery from completed inspection campaign</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Historical defect cross-validation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Provides tooling for structured comparison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Provides historical inspection reports and CMMS records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Success criteria agreement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Proposes standard criteria set; negotiates amendments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Reviews and approves criteria in writing before ingestion</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Weekly progress updates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Delivers written update every Friday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Reviews and responds within 2 business days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security during pilot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Encrypts data in transit and at rest; access logging</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Responsible for data transfer security on operator side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deletion on pilot conclusion (no-proceed)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Executes deletion within 5 business days; provides certificate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Confirms deletion certificate received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Commercial decision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N/A</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Named decision-maker attends evaluation meeting</w:t>
            </w:r>
          </w:p>
        </w:tc>
      </w:tr>
    </w:tbl>
    <w:p>
      <w:pPr>
        <w:spacing w:before="40" w:after="120"/>
      </w:pPr>
    </w:p>
    <w:p>
      <w:pPr>
        <w:pStyle w:val="Heading2"/>
      </w:pPr>
      <w:r>
        <w:rPr>
          <w:b w:val="0"/>
          <w:i w:val="0"/>
        </w:rPr>
        <w:t>G.5  Pilot commercial terms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4680"/>
        <w:gridCol w:w="4680"/>
      </w:tblGrid>
      <w:tr>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Term</w:t>
            </w:r>
          </w:p>
        </w:tc>
        <w:tc>
          <w:tcPr>
            <w:tcW w:w="468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Standard position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Pilot fee</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Fixed fee agreed prior to commencement. Applied as credit against Year 1 subscription if operator proceeds.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ownership</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All inspection data remains the property of the operator throughout the pilot and after its conclusion.</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Intellectual property</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retains all rights to platform software. Operator retains all rights to their facility data and inspection imagery.</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Confidentiality</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Mutual NDA in place prior to data transfer. Kav AI does not use pilot data for model training without explicit written consent.</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Exit rights</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may terminate pilot at any time with 5 business days' notice. Kav AI executes data deletion and issues deletion certificate.</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Liability cap during pilot</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liability capped at pilot fee paid. Kav AI outputs are recommendations only; operator retains all responsibility for operational decisions.</w:t>
            </w:r>
          </w:p>
        </w:tc>
      </w:tr>
      <w:tr>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Path to production</w:t>
            </w:r>
          </w:p>
        </w:tc>
        <w:tc>
          <w:tcPr>
            <w:tcW w:w="468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If success criteria are met, operator receives a production contract proposal within 10 business days of evaluation meeting.</w:t>
            </w:r>
          </w:p>
        </w:tc>
      </w:tr>
    </w:tbl>
    <w:p>
      <w:pPr>
        <w:spacing w:before="40" w:after="120"/>
      </w:pPr>
    </w:p>
    <w:p>
      <w:pPr>
        <w:pStyle w:val="Heading1"/>
      </w:pPr>
      <w:r>
        <w:rPr>
          <w:b w:val="0"/>
          <w:i w:val="0"/>
        </w:rPr>
        <w:t>Appendix H.  Master Services Agreement Framework</w:t>
      </w:r>
    </w:p>
    <w:p>
      <w:pPr>
        <w:spacing w:before="0" w:after="120"/>
      </w:pPr>
      <w:r>
        <w:rPr>
          <w:b w:val="0"/>
          <w:i w:val="0"/>
        </w:rPr>
        <w:t>This appendix describes the key commercial and legal positions Kav AI takes in its Master Services Agreement (MSA). It is intended to accelerate legal review by identifying Kav AI's standard positions and areas where negotiation is anticipated. The full MSA template is provided separately by Kav AI's legal counsel upon request.</w:t>
      </w:r>
    </w:p>
    <w:p>
      <w:pPr>
        <w:spacing w:before="40" w:after="160"/>
        <w:jc w:val="left"/>
      </w:pPr>
      <w:r>
        <w:rPr>
          <w:i/>
          <w:color w:val="666666"/>
          <w:sz w:val="19"/>
        </w:rPr>
        <w:t>This appendix is a summary of Kav AI's standard MSA positions for discussion purposes. It does not constitute legal advice and does not supersede the executed MSA. Operators should engage their own legal counsel to review the full agreement.</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Core legal position</w:t>
            </w:r>
          </w:p>
          <w:p>
            <w:pPr>
              <w:spacing w:before="0" w:after="0"/>
            </w:pPr>
            <w:r>
              <w:rPr>
                <w:rFonts w:ascii="Arial" w:hAnsi="Arial"/>
                <w:b w:val="0"/>
                <w:i w:val="0"/>
                <w:color w:val="222222"/>
                <w:sz w:val="20"/>
              </w:rPr>
              <w:t>Kav AI is a decision support platform, not a control system. All outputs — anomaly findings, risk scores, remaining life estimates, and corrective action recommendations — are provided to a qualified human operator for their review and judgment. The operator retains full responsibility for all operational decisions. This position is reflected throughout the MSA and is not negotiable.</w:t>
            </w:r>
          </w:p>
        </w:tc>
      </w:tr>
    </w:tbl>
    <w:p>
      <w:pPr>
        <w:spacing w:before="40" w:after="120"/>
      </w:pPr>
    </w:p>
    <w:p>
      <w:pPr>
        <w:pStyle w:val="Heading2"/>
      </w:pPr>
      <w:r>
        <w:rPr>
          <w:b w:val="0"/>
          <w:i w:val="0"/>
        </w:rPr>
        <w:t>H.1  Key MSA provisions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3120"/>
        <w:gridCol w:w="3120"/>
        <w:gridCol w:w="3120"/>
      </w:tblGrid>
      <w:tr>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Provision</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Kav AI standard position</w:t>
            </w:r>
          </w:p>
        </w:tc>
        <w:tc>
          <w:tcPr>
            <w:tcW w:w="312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Negotiation status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Liability cap</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AI's total aggregate liability is capped at fees paid in the 12 months preceding the claim. Excludes gross negligence and wilful misconduct.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Standard. Not negotiable below 12-month fee cap.</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Consequential damages exclusion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excludes liability for indirect, consequential, and incidental damages including lost production, business interruption, and third-party claims.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Standard. Mutual exclusion negotiable.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Decision support disclaimer</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outputs are recommendations to qualified operators. Operator retains full responsibility for all operational decisions made in reliance on Kav AI outputs.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Non-negotiable. Core to product liability position.</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ownership</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All facility data and inspection imagery remains the property of the operator. Kav AI holds a limited license to process the data for the purpose of providing the service.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Standard. Operator IP protections negotiable.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Model training consent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does not use operator data for model training without explicit written consent. Anonymized, aggregated performance metrics excluded.</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Standard. Explicit opt-in required for training use.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security</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Kav AI complies with SOC 2 Type II (target Q4 2026). Encryption at rest and in transit. Breach notification within 72 hours.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Standard. Additional security schedules negotiable.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Data deletion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On contract termination, Kav AI deletes all operator data within 30 days and provides a deletion certificate. Backups purged within 90 days.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Standard.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Uptime SLA</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99.5% monthly uptime for cloud SaaS tier. Excludes planned maintenance windows (notified 48 hours in advance) and force majeure.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SLA credits negotiable. Cap at one month's fees.</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Audit rights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Operator may audit Kav AI's data handling practices annually with 30 days' notice, or following a security incident.</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Standard.</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Governing law</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Ontario, Canada (Kav AI standard). Negotiable to operator's jurisdiction for enterprise contracts.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Negotiable.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Dispute resolution</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Good-faith negotiation (30 days), then binding arbitration under ICC Rules. Litigation waived by both parties.</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Negotiable to operator preference.</w:t>
            </w:r>
          </w:p>
        </w:tc>
      </w:tr>
      <w:tr>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Term and renewal</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Initial term 12 months. Auto-renews for 12-month terms unless either party gives 60 days' notice.</w:t>
            </w:r>
          </w:p>
        </w:tc>
        <w:tc>
          <w:tcPr>
            <w:tcW w:w="312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Standard. Multi-year terms available at discount.</w:t>
            </w:r>
          </w:p>
        </w:tc>
      </w:tr>
    </w:tbl>
    <w:p>
      <w:pPr>
        <w:spacing w:before="40" w:after="120"/>
      </w:pPr>
    </w:p>
    <w:p>
      <w:pPr>
        <w:pStyle w:val="Heading2"/>
      </w:pPr>
      <w:r>
        <w:rPr>
          <w:b w:val="0"/>
          <w:i w:val="0"/>
        </w:rPr>
        <w:t>H.2  Subscription tiers</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2340"/>
        <w:gridCol w:w="2340"/>
        <w:gridCol w:w="2340"/>
        <w:gridCol w:w="2340"/>
      </w:tblGrid>
      <w:tr>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Feature</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Starter</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Professional</w:t>
            </w:r>
          </w:p>
        </w:tc>
        <w:tc>
          <w:tcPr>
            <w:tcW w:w="2340" w:type="dxa"/>
            <w:tcBorders>
              <w:top w:val="single" w:sz="1" w:space="0" w:color="999999"/>
              <w:left w:val="single" w:sz="1" w:space="0" w:color="999999"/>
              <w:bottom w:val="single" w:sz="1" w:space="0" w:color="999999"/>
              <w:right w:val="single" w:sz="1" w:space="0" w:color="999999"/>
            </w:tcBorders>
            <w:shd w:val="clear" w:color="auto" w:fill="1B3A6B"/>
            <w:tcMar>
              <w:top w:w="100" w:type="dxa"/>
              <w:bottom w:w="100" w:type="dxa"/>
              <w:left w:w="140" w:type="dxa"/>
              <w:right w:w="140" w:type="dxa"/>
            </w:tcMar>
            <w:vAlign w:val="center"/>
          </w:tcPr>
          <w:p>
            <w:pPr>
              <w:spacing w:before="0" w:after="0"/>
            </w:pPr>
            <w:r/>
            <w:r>
              <w:rPr>
                <w:rFonts w:ascii="Arial" w:hAnsi="Arial"/>
                <w:b/>
                <w:i w:val="0"/>
                <w:color w:val="FFFFFF"/>
                <w:sz w:val="20"/>
              </w:rPr>
              <w:t>Enterprise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Deployment tier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Cloud SaaS only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Cloud SaaS or customer cloud tenant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All tiers including on-premise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Facilities covered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1 facility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Up to 5 facilities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Unlimited</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Concurrent operators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Up to 10</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Up to 50</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Unlimited</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Inspection campaigns / year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Up to 4</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Up to 12</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Unlimited</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Control-system / OPC UA connector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(Q4 2026)</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(Q4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Inspection-evidence integrity loop</w:t>
            </w:r>
            <w:r>
              <w:rPr>
                <w:rFonts w:ascii="Arial" w:hAnsi="Arial"/>
                <w:b w:val="0"/>
                <w:i w:val="0"/>
                <w:color w:val="111111"/>
                <w:sz w:val="20"/>
              </w:rPr>
              <w:t xml:space="preserve"> — candidates, evidence-grounded findings, engineering decisions, actions, worklist and evidence-bound reports on RGB and thermal campaign imagery</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(prototype)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(prototype)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(prototype)</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Process-telemetry entry to the integrity chain</w:t>
            </w:r>
            <w:r>
              <w:rPr>
                <w:rFonts w:ascii="Arial" w:hAnsi="Arial"/>
                <w:b w:val="0"/>
                <w:i w:val="0"/>
                <w:color w:val="111111"/>
                <w:sz w:val="20"/>
              </w:rPr>
              <w:t xml:space="preserve"> — the operating-limit / failure-mechanism analytical chain: operating-limit checks, exceedance-to-mechanism mapping, quantified RBI risk</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(Q4 2026)</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(Q4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Cross-source correlation engine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(Q4 2026)</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(Q4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Autonomous robot patrol ingestion (KRSI)</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(Q4 2026)</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 (Q4 2026)</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Partner-integrated delivery (industry-appropriate engineering partner)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available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Available on request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Available on request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Industry RAM benchmarking integration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SSO / SAML integration</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Dedicated CSM</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Included</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SLA uptime guarantee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99.5%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99.5%</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99.9%</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Security review / pen test support</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included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Annual report shared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Dedicated engagement</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On-premise / air-gapped</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available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Not available</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Available (Q2 2027)</w:t>
            </w:r>
          </w:p>
        </w:tc>
      </w:tr>
      <w:tr>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i w:val="0"/>
                <w:color w:val="111111"/>
                <w:sz w:val="20"/>
              </w:rPr>
              <w:t>Pricing basis</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Per facility / per year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Per facility bundle / per year</w:t>
            </w:r>
          </w:p>
        </w:tc>
        <w:tc>
          <w:tcPr>
            <w:tcW w:w="2340" w:type="dxa"/>
            <w:tcBorders>
              <w:top w:val="single" w:sz="1" w:space="0" w:color="CCCCCC"/>
              <w:left w:val="single" w:sz="1" w:space="0" w:color="CCCCCC"/>
              <w:bottom w:val="single" w:sz="1" w:space="0" w:color="CCCCCC"/>
              <w:right w:val="single" w:sz="1" w:space="0" w:color="CCCCCC"/>
            </w:tcBorders>
            <w:shd w:val="clear" w:color="auto" w:fill="D6E8F5"/>
            <w:tcMar>
              <w:top w:w="100" w:type="dxa"/>
              <w:bottom w:w="100" w:type="dxa"/>
              <w:left w:w="140" w:type="dxa"/>
              <w:right w:w="140" w:type="dxa"/>
            </w:tcMar>
            <w:vAlign w:val="top"/>
          </w:tcPr>
          <w:p>
            <w:pPr>
              <w:spacing w:before="0" w:after="0"/>
            </w:pPr>
            <w:r/>
            <w:r>
              <w:rPr>
                <w:rFonts w:ascii="Arial" w:hAnsi="Arial"/>
                <w:b w:val="0"/>
                <w:i w:val="0"/>
                <w:color w:val="111111"/>
                <w:sz w:val="20"/>
              </w:rPr>
              <w:t>Enterprise license / custom</w:t>
            </w:r>
          </w:p>
        </w:tc>
      </w:tr>
    </w:tbl>
    <w:p>
      <w:pPr>
        <w:spacing w:before="40" w:after="120"/>
      </w:pPr>
    </w:p>
    <w:p>
      <w:pPr>
        <w:spacing w:before="40" w:after="160"/>
        <w:jc w:val="left"/>
      </w:pPr>
      <w:r>
        <w:rPr>
          <w:i/>
          <w:color w:val="666666"/>
          <w:sz w:val="19"/>
        </w:rPr>
        <w:t>Pricing is indicative. Final pricing provided in a separate commercial proposal. Volume discounts available for multi-facility and multi-year commitments.</w:t>
      </w:r>
    </w:p>
    <w:p>
      <w:pPr>
        <w:pStyle w:val="Heading2"/>
      </w:pPr>
      <w:r>
        <w:rPr>
          <w:b w:val="0"/>
          <w:i w:val="0"/>
        </w:rPr>
        <w:t>H.3  Anticipated legal review areas</w:t>
      </w:r>
    </w:p>
    <w:p>
      <w:pPr>
        <w:spacing w:before="0" w:after="120"/>
      </w:pPr>
      <w:r>
        <w:rPr>
          <w:b w:val="0"/>
          <w:i w:val="0"/>
        </w:rPr>
        <w:t>Based on Kav AI's experience with enterprise procurement in heavy industry, the following provisions typically require negotiation or additional schedules during legal review. Kav AI's legal counsel is prepared to engage on all of these.</w:t>
      </w:r>
    </w:p>
    <w:p>
      <w:pPr>
        <w:spacing w:before="0" w:after="60"/>
        <w:ind w:left="504" w:hanging="288"/>
      </w:pPr>
      <w:r>
        <w:rPr>
          <w:b w:val="0"/>
        </w:rPr>
        <w:t xml:space="preserve">•  </w:t>
      </w:r>
      <w:r>
        <w:rPr>
          <w:b w:val="0"/>
          <w:i w:val="0"/>
        </w:rPr>
        <w:t>Data residency schedules for operators subject to specific jurisdictional requirements (e.g. Canadian data sovereignty, EU GDPR, US ITAR)</w:t>
      </w:r>
    </w:p>
    <w:p>
      <w:pPr>
        <w:spacing w:before="0" w:after="60"/>
        <w:ind w:left="504" w:hanging="288"/>
      </w:pPr>
      <w:r>
        <w:rPr>
          <w:b w:val="0"/>
        </w:rPr>
        <w:t xml:space="preserve">•  </w:t>
      </w:r>
      <w:r>
        <w:rPr>
          <w:b w:val="0"/>
          <w:i w:val="0"/>
        </w:rPr>
        <w:t>Security addenda for operators with their own information security standards (e.g. ISO 27001, NIST CSF, or internal OT security frameworks)</w:t>
      </w:r>
    </w:p>
    <w:p>
      <w:pPr>
        <w:spacing w:before="0" w:after="60"/>
        <w:ind w:left="504" w:hanging="288"/>
      </w:pPr>
      <w:r>
        <w:rPr>
          <w:b w:val="0"/>
        </w:rPr>
        <w:t xml:space="preserve">•  </w:t>
      </w:r>
      <w:r>
        <w:rPr>
          <w:b w:val="0"/>
          <w:i w:val="0"/>
        </w:rPr>
        <w:t>Subprocessor lists and approval rights, particularly for cloud infrastructure providers and LLM API vendors</w:t>
      </w:r>
    </w:p>
    <w:p>
      <w:pPr>
        <w:spacing w:before="0" w:after="60"/>
        <w:ind w:left="504" w:hanging="288"/>
      </w:pPr>
      <w:r>
        <w:rPr>
          <w:b w:val="0"/>
        </w:rPr>
        <w:t xml:space="preserve">•  </w:t>
      </w:r>
      <w:r>
        <w:rPr>
          <w:b w:val="0"/>
          <w:i w:val="0"/>
        </w:rPr>
        <w:t>Incident response and notification procedures, including integration with the operator's existing incident response plan</w:t>
      </w:r>
    </w:p>
    <w:p>
      <w:pPr>
        <w:spacing w:before="0" w:after="60"/>
        <w:ind w:left="504" w:hanging="288"/>
      </w:pPr>
      <w:r>
        <w:rPr>
          <w:b w:val="0"/>
        </w:rPr>
        <w:t xml:space="preserve">•  </w:t>
      </w:r>
      <w:r>
        <w:rPr>
          <w:b w:val="0"/>
          <w:i w:val="0"/>
        </w:rPr>
        <w:t>Change control procedures for material platform updates that may affect integrated workflows</w:t>
      </w:r>
    </w:p>
    <w:p>
      <w:pPr>
        <w:spacing w:before="0" w:after="60"/>
        <w:ind w:left="504" w:hanging="288"/>
      </w:pPr>
      <w:r>
        <w:rPr>
          <w:b w:val="0"/>
        </w:rPr>
        <w:t xml:space="preserve">•  </w:t>
      </w:r>
      <w:r>
        <w:rPr>
          <w:b w:val="0"/>
          <w:i w:val="0"/>
        </w:rPr>
        <w:t>Export control compliance for operators subject to US EAR or ITAR restrictions on technology transfer</w:t>
      </w:r>
    </w:p>
    <w:tbl>
      <w:tblPr>
        <w:jc w:val="left"/>
        <w:tblLook w:firstColumn="1" w:firstRow="1" w:lastColumn="0" w:lastRow="0" w:noHBand="0" w:noVBand="1" w:val="04A0"/>
        <w:tblW w:w="9360" w:type="dxa"/>
        <w:tblBorders>
          <w:top w:val="single" w:sz="4" w:color="auto"/>
          <w:left w:val="single" w:sz="4" w:color="auto"/>
          <w:bottom w:val="single" w:sz="4" w:color="auto"/>
          <w:right w:val="single" w:sz="4" w:color="auto"/>
          <w:insideH w:val="single" w:sz="4" w:color="auto"/>
          <w:insideV w:val="single" w:sz="4" w:color="auto"/>
        </w:tblBorders>
      </w:tblPr>
      <w:tblGrid>
        <w:gridCol w:w="9360"/>
      </w:tblGrid>
      <w:tr>
        <w:tc>
          <w:tcPr>
            <w:tcW w:w="9360" w:type="dxa"/>
            <w:tcBorders>
              <w:top w:val="single" w:sz="8" w:space="0" w:color="0D7680"/>
              <w:left w:val="single" w:sz="12" w:space="0" w:color="0D7680"/>
              <w:bottom w:val="single" w:sz="1" w:space="0" w:color="0D7680"/>
              <w:right w:val="single" w:sz="1" w:space="0" w:color="0D7680"/>
            </w:tcBorders>
            <w:shd w:val="clear" w:color="auto" w:fill="D6E8F5"/>
            <w:tcMar>
              <w:top w:w="140" w:type="dxa"/>
              <w:bottom w:w="140" w:type="dxa"/>
              <w:left w:w="200" w:type="dxa"/>
              <w:right w:w="160" w:type="dxa"/>
            </w:tcMar>
          </w:tcPr>
          <w:p>
            <w:pPr>
              <w:spacing w:before="0" w:after="100"/>
            </w:pPr>
            <w:r/>
            <w:r>
              <w:rPr>
                <w:rFonts w:ascii="Arial" w:hAnsi="Arial"/>
                <w:b/>
                <w:i w:val="0"/>
                <w:color w:val="1B3A6B"/>
                <w:sz w:val="22"/>
              </w:rPr>
              <w:t>Next steps for legal review</w:t>
            </w:r>
          </w:p>
          <w:p>
            <w:pPr>
              <w:spacing w:before="0" w:after="0"/>
            </w:pPr>
            <w:r>
              <w:rPr>
                <w:rFonts w:ascii="Arial" w:hAnsi="Arial"/>
                <w:b w:val="0"/>
                <w:i w:val="0"/>
                <w:color w:val="222222"/>
                <w:sz w:val="20"/>
              </w:rPr>
              <w:t>To initiate legal review, the operator's legal counsel should contact Kav AI to request the full MSA template and any applicable security schedules. Kav AI targets a 10-business-day turnaround on redline responses. For enterprise contracts, Kav AI's legal counsel is available for a direct call to discuss substantive issues before formal redline exchange.</w:t>
            </w:r>
          </w:p>
        </w:tc>
      </w:tr>
    </w:tbl>
    <w:p>
      <w:pPr>
        <w:spacing w:before="40" w:after="120"/>
      </w:pPr>
    </w:p>
    <w:sectPr>
      <w:headerReference r:id="rId9" w:type="default"/>
      <w:footerReference r:id="rId10"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5">
    <w:pPr>
      <w:spacing w:before="0" w:after="0"/>
      <w:tabs>
        <w:tab w:val="right" w:pos="9360" w:leader="none"/>
      </w:tabs>
    </w:pPr>
    <w:r>
      <w:rPr>
        <w:rFonts w:ascii="Arial" w:hAnsi="Arial"/>
        <w:color w:val="999999"/>
        <w:sz w:val="16"/>
      </w:rPr>
      <w:t>©2026 Kav AI Technologies Inc.  |  Confidential</w:t>
    </w:r>
    <w:r>
      <w:rPr>
        <w:sz w:val="16"/>
      </w:rPr>
      <w:tab/>
    </w:r>
    <w:fldSimple w:instr=" PAGE ">
      <w:r>
        <w:rPr>
          <w:rFonts w:ascii="Arial" w:hAnsi="Arial"/>
          <w:sz w:val="16"/>
          <w:color w:val="999999"/>
        </w:rPr>
        <w:t>1</w:t>
      </w:r>
    </w:fldSimple>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4">
    <w:pPr>
      <w:pBdr>
        <w:bottom w:color="0d7680" w:space="1" w:sz="6" w:val="single"/>
      </w:pBdr>
      <w:tabs>
        <w:tab w:val="right" w:leader="none" w:pos="9360"/>
      </w:tabs>
      <w:spacing w:after="0" w:lineRule="auto"/>
      <w:rPr/>
    </w:pPr>
    <w:r w:rsidDel="00000000" w:rsidR="00000000" w:rsidRPr="00000000">
      <w:rPr>
        <w:rFonts w:ascii="Arial" w:cs="Arial" w:eastAsia="Arial" w:hAnsi="Arial"/>
        <w:b w:val="1"/>
        <w:bCs w:val="1"/>
        <w:color w:val="1b3a6b"/>
        <w:sz w:val="18"/>
        <w:szCs w:val="18"/>
        <w:rtl w:val="0"/>
      </w:rPr>
      <w:t>Kav AI Platform  |  Product Requirements Document                      Version 3.12.g  —  September 2026  |  CONFIDENTIAL</w:t>
    </w:r>
    <w:r w:rsidDel="00000000" w:rsidR="00000000" w:rsidRPr="00000000">
      <w:rPr>
        <w:rFonts w:ascii="Arial" w:cs="Arial" w:eastAsia="Arial" w:hAnsi="Arial"/>
        <w:color w:val="666666"/>
        <w:sz w:val="18"/>
        <w:szCs w:val="18"/>
        <w:rtl w:val="0"/>
      </w:rPr>
    </w:r>
    <w:r w:rsidDel="00000000" w:rsidR="00000000" w:rsidRPr="00000000">
      <w:rPr>
        <w:color w:val="666666"/>
        <w:sz w:val="18"/>
        <w:szCs w:val="18"/>
        <w:rtl w:val="0"/>
      </w:rPr>
    </w:r>
    <w:r w:rsidDel="00000000" w:rsidR="00000000" w:rsidRPr="00000000">
      <w:rPr>
        <w:rFonts w:ascii="Arial" w:cs="Arial" w:eastAsia="Arial" w:hAnsi="Arial"/>
        <w:color w:val="666666"/>
        <w:sz w:val="18"/>
        <w:szCs w:val="18"/>
        <w:rtl w:val="0"/>
      </w:rPr>
    </w:r>
    <w:r w:rsidDel="00000000" w:rsidR="00000000" w:rsidRPr="00000000">
      <w:rPr>
        <w:color w:val="666666"/>
        <w:sz w:val="18"/>
        <w:szCs w:val="18"/>
        <w:rtl w:val="0"/>
      </w:rPr>
    </w:r>
    <w:r w:rsidDel="00000000" w:rsidR="00000000" w:rsidRPr="00000000">
      <w:rPr>
        <w:rFonts w:ascii="Arial" w:cs="Arial" w:eastAsia="Arial" w:hAnsi="Arial"/>
        <w:color w:val="666666"/>
        <w:sz w:val="18"/>
        <w:szCs w:val="18"/>
        <w:rtl w:val="0"/>
      </w:rPr>
    </w:r>
    <w:r w:rsidDel="00000000" w:rsidR="00000000" w:rsidRPr="00000000">
      <w:rPr>
        <w:color w:val="666666"/>
        <w:sz w:val="18"/>
        <w:szCs w:val="18"/>
        <w:rtl w:val="0"/>
      </w:rPr>
    </w:r>
    <w:r w:rsidDel="00000000" w:rsidR="00000000" w:rsidRPr="00000000">
      <w:rPr>
        <w:rFonts w:ascii="Arial" w:cs="Arial" w:eastAsia="Arial" w:hAnsi="Arial"/>
        <w:color w:val="666666"/>
        <w:sz w:val="18"/>
        <w:szCs w:val="18"/>
        <w:rtl w:val="0"/>
      </w:rPr>
    </w:r>
    <w:r w:rsidDel="00000000" w:rsidR="00000000" w:rsidRPr="00000000">
      <w:rPr>
        <w:color w:val="666666"/>
        <w:sz w:val="18"/>
        <w:szCs w:val="18"/>
        <w:rtl w:val="0"/>
      </w:rPr>
    </w:r>
    <w:r w:rsidDel="00000000" w:rsidR="00000000" w:rsidRPr="00000000">
      <w:rPr>
        <w:rFonts w:ascii="Arial" w:cs="Arial" w:eastAsia="Arial" w:hAnsi="Arial"/>
        <w:color w:val="666666"/>
        <w:sz w:val="18"/>
        <w:szCs w:val="18"/>
        <w:rtl w:val="0"/>
      </w:rPr>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600" w:hanging="30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11111"/>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60" w:line="240" w:lineRule="auto"/>
      <w:ind w:left="0" w:right="0" w:firstLine="0"/>
      <w:jc w:val="left"/>
    </w:pPr>
    <w:rPr>
      <w:rFonts w:ascii="Arial" w:cs="Arial" w:eastAsia="Arial" w:hAnsi="Arial"/>
      <w:b w:val="1"/>
      <w:bCs w:val="1"/>
      <w:i w:val="0"/>
      <w:iCs w:val="0"/>
      <w:smallCaps w:val="0"/>
      <w:strike w:val="0"/>
      <w:color w:val="1b3a6b"/>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0d768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00" w:line="240" w:lineRule="auto"/>
      <w:ind w:left="0" w:right="0" w:firstLine="0"/>
      <w:jc w:val="left"/>
    </w:pPr>
    <w:rPr>
      <w:rFonts w:ascii="Arial" w:cs="Arial" w:eastAsia="Arial" w:hAnsi="Arial"/>
      <w:b w:val="1"/>
      <w:bCs w:val="1"/>
      <w:i w:val="0"/>
      <w:iCs w:val="0"/>
      <w:smallCaps w:val="0"/>
      <w:strike w:val="0"/>
      <w:color w:val="1b3a6b"/>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11111"/>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100.0" w:type="dxa"/>
        <w:left w:w="140.0" w:type="dxa"/>
        <w:bottom w:w="100.0" w:type="dxa"/>
        <w:right w:w="140.0" w:type="dxa"/>
      </w:tblCellMar>
    </w:tblPr>
  </w:style>
  <w:style w:type="table" w:styleId="Table22">
    <w:basedOn w:val="TableNormal"/>
    <w:tblPr>
      <w:tblStyleRowBandSize w:val="1"/>
      <w:tblStyleColBandSize w:val="1"/>
      <w:tblCellMar>
        <w:top w:w="100.0" w:type="dxa"/>
        <w:left w:w="140.0" w:type="dxa"/>
        <w:bottom w:w="100.0" w:type="dxa"/>
        <w:right w:w="140.0" w:type="dxa"/>
      </w:tblCellMar>
    </w:tblPr>
  </w:style>
  <w:style w:type="table" w:styleId="Table23">
    <w:basedOn w:val="TableNormal"/>
    <w:tblPr>
      <w:tblStyleRowBandSize w:val="1"/>
      <w:tblStyleColBandSize w:val="1"/>
      <w:tblCellMar>
        <w:top w:w="100.0" w:type="dxa"/>
        <w:left w:w="140.0" w:type="dxa"/>
        <w:bottom w:w="100.0" w:type="dxa"/>
        <w:right w:w="140.0" w:type="dxa"/>
      </w:tblCellMar>
    </w:tblPr>
  </w:style>
  <w:style w:type="table" w:styleId="Table24">
    <w:basedOn w:val="TableNormal"/>
    <w:tblPr>
      <w:tblStyleRowBandSize w:val="1"/>
      <w:tblStyleColBandSize w:val="1"/>
      <w:tblCellMar>
        <w:top w:w="100.0" w:type="dxa"/>
        <w:left w:w="140.0" w:type="dxa"/>
        <w:bottom w:w="100.0" w:type="dxa"/>
        <w:right w:w="140.0" w:type="dxa"/>
      </w:tblCellMar>
    </w:tblPr>
  </w:style>
  <w:style w:type="table" w:styleId="Table25">
    <w:basedOn w:val="TableNormal"/>
    <w:tblPr>
      <w:tblStyleRowBandSize w:val="1"/>
      <w:tblStyleColBandSize w:val="1"/>
      <w:tblCellMar>
        <w:top w:w="100.0" w:type="dxa"/>
        <w:left w:w="140.0" w:type="dxa"/>
        <w:bottom w:w="100.0" w:type="dxa"/>
        <w:right w:w="140.0" w:type="dxa"/>
      </w:tblCellMar>
    </w:tblPr>
  </w:style>
  <w:style w:type="table" w:styleId="Table26">
    <w:basedOn w:val="TableNormal"/>
    <w:tblPr>
      <w:tblStyleRowBandSize w:val="1"/>
      <w:tblStyleColBandSize w:val="1"/>
      <w:tblCellMar>
        <w:top w:w="140.0" w:type="dxa"/>
        <w:left w:w="200.0" w:type="dxa"/>
        <w:bottom w:w="140.0" w:type="dxa"/>
        <w:right w:w="160.0" w:type="dxa"/>
      </w:tblCellMar>
    </w:tblPr>
  </w:style>
  <w:style w:type="table" w:styleId="Table27">
    <w:basedOn w:val="TableNormal"/>
    <w:tblPr>
      <w:tblStyleRowBandSize w:val="1"/>
      <w:tblStyleColBandSize w:val="1"/>
      <w:tblCellMar>
        <w:top w:w="100.0" w:type="dxa"/>
        <w:left w:w="140.0" w:type="dxa"/>
        <w:bottom w:w="100.0" w:type="dxa"/>
        <w:right w:w="140.0" w:type="dxa"/>
      </w:tblCellMar>
    </w:tblPr>
  </w:style>
  <w:style w:type="table" w:styleId="Table28">
    <w:basedOn w:val="TableNormal"/>
    <w:tblPr>
      <w:tblStyleRowBandSize w:val="1"/>
      <w:tblStyleColBandSize w:val="1"/>
      <w:tblCellMar>
        <w:top w:w="140.0" w:type="dxa"/>
        <w:left w:w="200.0" w:type="dxa"/>
        <w:bottom w:w="140.0" w:type="dxa"/>
        <w:right w:w="160.0" w:type="dxa"/>
      </w:tblCellMar>
    </w:tblPr>
  </w:style>
  <w:style w:type="table" w:styleId="Table29">
    <w:basedOn w:val="TableNormal"/>
    <w:tblPr>
      <w:tblStyleRowBandSize w:val="1"/>
      <w:tblStyleColBandSize w:val="1"/>
      <w:tblCellMar>
        <w:top w:w="100.0" w:type="dxa"/>
        <w:left w:w="140.0" w:type="dxa"/>
        <w:bottom w:w="100.0" w:type="dxa"/>
        <w:right w:w="140.0" w:type="dxa"/>
      </w:tblCellMar>
    </w:tblPr>
  </w:style>
  <w:style w:type="table" w:styleId="Table30">
    <w:basedOn w:val="TableNormal"/>
    <w:tblPr>
      <w:tblStyleRowBandSize w:val="1"/>
      <w:tblStyleColBandSize w:val="1"/>
      <w:tblCellMar>
        <w:top w:w="100.0" w:type="dxa"/>
        <w:left w:w="140.0" w:type="dxa"/>
        <w:bottom w:w="100.0" w:type="dxa"/>
        <w:right w:w="140.0" w:type="dxa"/>
      </w:tblCellMar>
    </w:tblPr>
  </w:style>
  <w:style w:type="table" w:styleId="Table31">
    <w:basedOn w:val="TableNormal"/>
    <w:tblPr>
      <w:tblStyleRowBandSize w:val="1"/>
      <w:tblStyleColBandSize w:val="1"/>
      <w:tblCellMar>
        <w:top w:w="100.0" w:type="dxa"/>
        <w:left w:w="140.0" w:type="dxa"/>
        <w:bottom w:w="100.0" w:type="dxa"/>
        <w:right w:w="140.0" w:type="dxa"/>
      </w:tblCellMar>
    </w:tblPr>
  </w:style>
  <w:style w:type="table" w:styleId="Table32">
    <w:basedOn w:val="TableNormal"/>
    <w:tblPr>
      <w:tblStyleRowBandSize w:val="1"/>
      <w:tblStyleColBandSize w:val="1"/>
      <w:tblCellMar>
        <w:top w:w="100.0" w:type="dxa"/>
        <w:left w:w="140.0" w:type="dxa"/>
        <w:bottom w:w="100.0" w:type="dxa"/>
        <w:right w:w="140.0" w:type="dxa"/>
      </w:tblCellMar>
    </w:tblPr>
  </w:style>
  <w:style w:type="table" w:styleId="Table33">
    <w:basedOn w:val="TableNormal"/>
    <w:tblPr>
      <w:tblStyleRowBandSize w:val="1"/>
      <w:tblStyleColBandSize w:val="1"/>
      <w:tblCellMar>
        <w:top w:w="100.0" w:type="dxa"/>
        <w:left w:w="140.0" w:type="dxa"/>
        <w:bottom w:w="100.0" w:type="dxa"/>
        <w:right w:w="140.0" w:type="dxa"/>
      </w:tblCellMar>
    </w:tblPr>
  </w:style>
  <w:style w:type="table" w:styleId="Table34">
    <w:basedOn w:val="TableNormal"/>
    <w:tblPr>
      <w:tblStyleRowBandSize w:val="1"/>
      <w:tblStyleColBandSize w:val="1"/>
      <w:tblCellMar>
        <w:top w:w="140.0" w:type="dxa"/>
        <w:left w:w="200.0" w:type="dxa"/>
        <w:bottom w:w="140.0" w:type="dxa"/>
        <w:right w:w="160.0" w:type="dxa"/>
      </w:tblCellMar>
    </w:tblPr>
  </w:style>
  <w:style w:type="table" w:styleId="Table35">
    <w:basedOn w:val="TableNormal"/>
    <w:tblPr>
      <w:tblStyleRowBandSize w:val="1"/>
      <w:tblStyleColBandSize w:val="1"/>
      <w:tblCellMar>
        <w:top w:w="100.0" w:type="dxa"/>
        <w:left w:w="140.0" w:type="dxa"/>
        <w:bottom w:w="100.0" w:type="dxa"/>
        <w:right w:w="140.0" w:type="dxa"/>
      </w:tblCellMar>
    </w:tblPr>
  </w:style>
  <w:style w:type="table" w:styleId="Table36">
    <w:basedOn w:val="TableNormal"/>
    <w:tblPr>
      <w:tblStyleRowBandSize w:val="1"/>
      <w:tblStyleColBandSize w:val="1"/>
      <w:tblCellMar>
        <w:top w:w="100.0" w:type="dxa"/>
        <w:left w:w="140.0" w:type="dxa"/>
        <w:bottom w:w="100.0" w:type="dxa"/>
        <w:right w:w="140.0" w:type="dxa"/>
      </w:tblCellMar>
    </w:tblPr>
  </w:style>
  <w:style w:type="table" w:styleId="Table37">
    <w:basedOn w:val="TableNormal"/>
    <w:tblPr>
      <w:tblStyleRowBandSize w:val="1"/>
      <w:tblStyleColBandSize w:val="1"/>
      <w:tblCellMar>
        <w:top w:w="140.0" w:type="dxa"/>
        <w:left w:w="200.0" w:type="dxa"/>
        <w:bottom w:w="140.0" w:type="dxa"/>
        <w:right w:w="16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7tBkr/v7RTyZbSyn2S7d90xwsw==">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