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fontTable.xml" ContentType="application/vnd.openxmlformats-officedocument.wordprocessingml.fontTable+xml"/>
  <Override PartName="/word/fonts/Caudex-bold.ttf" ContentType="application/x-font-ttf"/>
  <Override PartName="/word/fonts/Caudex-boldItalic.ttf" ContentType="application/x-font-ttf"/>
  <Override PartName="/word/fonts/Caudex-italic.ttf" ContentType="application/x-font-ttf"/>
  <Override PartName="/word/fonts/Caudex-regular.ttf" ContentType="application/x-font-tt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before="0" w:after="600"/>
        <w:jc w:val="left"/>
      </w:pPr>
      <w:r>
        <w:drawing>
          <wp:inline>
            <wp:extent cx="1828800" cy="4046400"/>
            <wp:docPr id="1" name="Picture 1"/>
            <wp:cNvGraphicFramePr>
              <a:graphicFrameLocks noChangeAspect="1"/>
            </wp:cNvGraphicFramePr>
            <a:graphic>
              <a:graphicData uri="http://schemas.openxmlformats.org/drawingml/2006/picture">
                <pic:pic>
                  <pic:nvPicPr>
                    <pic:cNvPr id="0" name="KavAI.png"/>
                    <pic:cNvPicPr/>
                  </pic:nvPicPr>
                  <pic:blipFill>
                    <a:blip r:embed="rId11"/>
                    <a:stretch>
                      <a:fillRect/>
                    </a:stretch>
                  </pic:blipFill>
                  <pic:spPr>
                    <a:xfrm>
                      <a:off x="0" y="0"/>
                      <a:ext cx="1828800" cy="4046400"/>
                    </a:xfrm>
                    <a:prstGeom prst="rect"/>
                  </pic:spPr>
                </pic:pic>
              </a:graphicData>
            </a:graphic>
          </wp:inline>
        </w:drawing>
      </w:r>
    </w:p>
    <w:p>
      <w:pPr>
        <w:spacing w:before="0" w:after="0"/>
      </w:pPr>
    </w:p>
    <w:p>
      <w:pPr>
        <w:spacing w:before="0" w:after="0"/>
      </w:pPr>
    </w:p>
    <w:p>
      <w:pPr>
        <w:spacing w:before="0" w:after="0"/>
      </w:pPr>
    </w:p>
    <w:p>
      <w:pPr>
        <w:spacing w:before="0" w:after="0"/>
      </w:pPr>
    </w:p>
    <w:p>
      <w:pPr>
        <w:spacing w:before="0" w:after="200"/>
      </w:pPr>
      <w:r>
        <w:rPr>
          <w:rFonts w:ascii="Arial" w:hAnsi="Arial"/>
          <w:b/>
          <w:i w:val="0"/>
          <w:color w:val="1B3A6B"/>
          <w:sz w:val="56"/>
        </w:rPr>
        <w:t>Kav AI Platform (KAP)</w:t>
      </w:r>
    </w:p>
    <w:p>
      <w:pPr>
        <w:spacing w:before="0" w:after="120"/>
      </w:pPr>
      <w:r>
        <w:rPr>
          <w:rFonts w:ascii="Arial" w:hAnsi="Arial"/>
          <w:b w:val="0"/>
          <w:i w:val="0"/>
          <w:color w:val="0D7680"/>
          <w:sz w:val="32"/>
        </w:rPr>
        <w:t>Active Physical Intelligence™</w:t>
      </w:r>
    </w:p>
    <w:p>
      <w:pPr>
        <w:spacing w:before="0" w:after="600"/>
      </w:pPr>
      <w:r>
        <w:rPr>
          <w:rFonts w:ascii="Arial" w:hAnsi="Arial"/>
          <w:b w:val="0"/>
          <w:i/>
          <w:color w:val="666666"/>
          <w:sz w:val="26"/>
        </w:rPr>
        <w:t>Investigate &amp; Escalate</w:t>
      </w:r>
    </w:p>
    <w:p>
      <w:pPr>
        <w:spacing w:before="0" w:after="0"/>
      </w:pPr>
    </w:p>
    <w:p>
      <w:pPr>
        <w:spacing w:before="0" w:after="0"/>
      </w:pPr>
    </w:p>
    <w:p>
      <w:pPr>
        <w:spacing w:before="0" w:after="0"/>
      </w:pPr>
    </w:p>
    <w:p>
      <w:pPr>
        <w:spacing w:before="0" w:after="0"/>
      </w:pPr>
    </w:p>
    <w:p>
      <w:pPr>
        <w:spacing w:before="0" w:after="60"/>
      </w:pPr>
      <w:r>
        <w:rPr>
          <w:rFonts w:ascii="Arial" w:hAnsi="Arial"/>
          <w:b w:val="0"/>
          <w:i w:val="0"/>
          <w:color w:val="666666"/>
          <w:sz w:val="21"/>
        </w:rPr>
        <w:t>Version:  3.7.s</w:t>
      </w:r>
    </w:p>
    <w:p>
      <w:pPr>
        <w:spacing w:before="0" w:after="60"/>
      </w:pPr>
      <w:r>
        <w:rPr>
          <w:rFonts w:ascii="Arial" w:hAnsi="Arial"/>
          <w:b w:val="0"/>
          <w:i w:val="0"/>
          <w:color w:val="666666"/>
          <w:sz w:val="21"/>
        </w:rPr>
        <w:t>Date:  2026-06-22</w:t>
      </w:r>
    </w:p>
    <w:p>
      <w:pPr>
        <w:spacing w:before="0" w:after="60"/>
      </w:pPr>
      <w:r>
        <w:rPr>
          <w:rFonts w:ascii="Arial" w:hAnsi="Arial"/>
          <w:b w:val="0"/>
          <w:i w:val="0"/>
          <w:color w:val="666666"/>
          <w:sz w:val="21"/>
        </w:rPr>
        <w:t>Author:  Kav AI Development Team</w:t>
      </w:r>
    </w:p>
    <w:p>
      <w:r>
        <w:br w:type="page"/>
      </w:r>
    </w:p>
    <w:p>
      <w:pPr>
        <w:spacing w:before="0" w:after="120"/>
      </w:pPr>
      <w:r>
        <w:rPr>
          <w:b w:val="0"/>
          <w:i w:val="0"/>
        </w:rPr>
        <w:t>&lt;!-- Steel (.s) edition = General Industry (.g) base + a thin steel overlay. Shared sections are assembled into _shared/ at build time by build.py (copied from ../../../product/general-industry/prd/sections); only the steel-specific sections live in this edition's sections/ directory. To change shared prose, edit the General Industry edition — not here. --&gt;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600"/>
        <w:gridCol w:w="7760"/>
      </w:tblGrid>
      <w:tr>
        <w:tc>
          <w:tcPr>
            <w:tcW w:w="1600" w:type="dxa"/>
            <w:tcBorders>
              <w:top w:val="single" w:sz="1" w:space="0" w:color="0D7680"/>
              <w:left w:val="single" w:sz="1" w:space="0" w:color="0D7680"/>
              <w:bottom w:val="single" w:sz="1" w:space="0" w:color="0D7680"/>
              <w:right w:val="single" w:sz="1" w:space="0" w:color="0D7680"/>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Document Status</w:t>
            </w:r>
          </w:p>
        </w:tc>
        <w:tc>
          <w:tcPr>
            <w:tcW w:w="7760" w:type="dxa"/>
            <w:tcBorders>
              <w:top w:val="single" w:sz="1" w:space="0" w:color="0D7680"/>
              <w:left w:val="single" w:sz="1" w:space="0" w:color="0D7680"/>
              <w:bottom w:val="single" w:sz="1" w:space="0" w:color="0D7680"/>
              <w:right w:val="single" w:sz="1" w:space="0" w:color="0D7680"/>
            </w:tcBorders>
            <w:shd w:val="clear" w:color="auto" w:fill="D6E8F5"/>
            <w:tcMar>
              <w:top w:w="100" w:type="dxa"/>
              <w:bottom w:w="100" w:type="dxa"/>
              <w:left w:w="140" w:type="dxa"/>
              <w:right w:w="140" w:type="dxa"/>
            </w:tcMar>
            <w:vAlign w:val="center"/>
          </w:tcPr>
          <w:p>
            <w:pPr>
              <w:spacing w:before="0" w:after="0"/>
            </w:pPr>
            <w:r/>
            <w:r>
              <w:rPr>
                <w:rFonts w:ascii="Arial" w:hAnsi="Arial"/>
                <w:b w:val="0"/>
                <w:i w:val="0"/>
                <w:color w:val="111111"/>
                <w:sz w:val="20"/>
              </w:rPr>
              <w:t xml:space="preserve">This document presents Kav AI's product vision, completed milestones, and roadmap through Q4 2026. It is intended for enterprise procurement stakeholders, customers, executive decision-makers, and partner integrity-engineering firms across asset-intensive industries. Technical implementation details are contained in the Technical Appendix. </w:t>
            </w:r>
            <w:r>
              <w:rPr>
                <w:rFonts w:ascii="Arial" w:hAnsi="Arial"/>
                <w:b/>
                <w:i w:val="0"/>
                <w:color w:val="111111"/>
                <w:sz w:val="20"/>
              </w:rPr>
              <w:t>v3.6.s is the Steel Industry edition</w:t>
            </w:r>
            <w:r>
              <w:rPr>
                <w:rFonts w:ascii="Arial" w:hAnsi="Arial"/>
                <w:b w:val="0"/>
                <w:i w:val="0"/>
                <w:color w:val="111111"/>
                <w:sz w:val="20"/>
              </w:rPr>
              <w:t xml:space="preserve"> — derived from the General Industry edition (v3.6.g), it carries the same platform architecture, milestones, and safety model while focusing the examples and engineering context on iron- and steel-making, casting, and rolling, together with the associated utility, gas, cooling-water, hydraulic, and by-product systems that a steel mill runs. Q2 2026 commitments are engineering-backed. Q3 and Q4 items are directional and subject to revision.</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 status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Current focus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Next milestone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Live — App MVP deployed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Q2 Delivery — 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Persistent Sensing — Q3 2026</w:t>
            </w:r>
          </w:p>
        </w:tc>
      </w:tr>
    </w:tbl>
    <w:p>
      <w:pPr>
        <w:spacing w:before="40" w:after="120"/>
      </w:pPr>
    </w:p>
    <w:p>
      <w:pPr>
        <w:pStyle w:val="Heading1"/>
      </w:pPr>
      <w:r>
        <w:rPr>
          <w:b w:val="0"/>
          <w:i w:val="0"/>
        </w:rPr>
        <w:t>Executive Summary</w:t>
      </w:r>
    </w:p>
    <w:p>
      <w:pPr>
        <w:pStyle w:val="Heading2"/>
      </w:pPr>
      <w:r>
        <w:rPr>
          <w:b w:val="0"/>
          <w:i w:val="0"/>
        </w:rPr>
        <w:t>Kav AI — Real-Time Integrity Intelligence System™ · Active Physical Intelligence™</w:t>
      </w:r>
    </w:p>
    <w:p>
      <w:pPr>
        <w:spacing w:before="0" w:after="120"/>
      </w:pPr>
      <w:r>
        <w:rPr>
          <w:b w:val="0"/>
          <w:i w:val="0"/>
        </w:rPr>
        <w:t xml:space="preserve">Kav AI is a </w:t>
      </w:r>
      <w:r>
        <w:rPr>
          <w:b/>
          <w:i w:val="0"/>
        </w:rPr>
        <w:t>Real-Time Integrity Intelligence System</w:t>
      </w:r>
      <w:r>
        <w:rPr>
          <w:b w:val="0"/>
          <w:i w:val="0"/>
        </w:rPr>
        <w:t xml:space="preserve"> for operators of asset-intensive industrial facilities. It is the first platform to close the loop between what sensors see, what process and operational data say, and what engineering codes require — delivering continuously updated risk assessments that an integrity or reliability team can act on in hours, not weeks.</w:t>
      </w:r>
    </w:p>
    <w:p>
      <w:pPr>
        <w:spacing w:before="0" w:after="120"/>
      </w:pPr>
      <w:r>
        <w:rPr>
          <w:b w:val="0"/>
          <w:i w:val="0"/>
        </w:rPr>
        <w:t xml:space="preserve">The platform operates as a continuous </w:t>
      </w:r>
      <w:r>
        <w:rPr>
          <w:b/>
          <w:i w:val="0"/>
        </w:rPr>
        <w:t>Active Physical Intelligence</w:t>
      </w:r>
      <w:r>
        <w:rPr>
          <w:b w:val="0"/>
          <w:i w:val="0"/>
        </w:rPr>
        <w:t xml:space="preserve">™ layer over the facility: it ingests visual inspection data (RGB, thermal, and other modalities), reads operational data from control systems and process historians, and reasons across both inside a persistent 3D model of the plant. In v3.2 that loop was extended by autonomous robot patrols, fixed plant infrastructure, and CAD / engineering context. </w:t>
      </w:r>
      <w:r>
        <w:rPr>
          <w:b/>
          <w:i w:val="0"/>
        </w:rPr>
        <w:t>v3.3 sharpens the operating posture for that loop</w:t>
      </w:r>
      <w:r>
        <w:rPr>
          <w:b w:val="0"/>
          <w:i w:val="0"/>
        </w:rPr>
        <w:t>: continuous coverage from commodity fleets, cross-source confirmation as the noise filter, and a partner-integrated delivery model that puts qualified integrity engineers in the human-in-the-loop seat. The result is a single system that connects physical condition to process context to failure mechanism to risk score to recommended action — the full integrity chain, automated and auditable.</w:t>
      </w:r>
    </w:p>
    <w:p>
      <w:pPr>
        <w:spacing w:before="0" w:after="120"/>
      </w:pPr>
      <w:r>
        <w:rPr>
          <w:b/>
          <w:i w:val="0"/>
        </w:rPr>
        <w:t>Kav AI is not a hardware manufacturer, not a control-system replacement, not a robotics company, and not a general-purpose industrial AI platform.</w:t>
      </w:r>
      <w:r>
        <w:rPr>
          <w:b w:val="0"/>
          <w:i w:val="0"/>
        </w:rPr>
        <w:t xml:space="preserve"> It is the integrity intelligence layer that sits above existing systems — purpose-built for the closed-loop analytical chain from Operating Limit Window (OLW / IOW) exceedances through Damage / Failure Mechanism Reviews (DMRs / FMRs) to prioritized inspection plans. Kav AI reads from operational systems; it never writes to control systems, never actuates equipment, and never commands field assets.</w:t>
      </w:r>
    </w:p>
    <w:p>
      <w:pPr>
        <w:pStyle w:val="Heading3"/>
      </w:pPr>
      <w:r>
        <w:rPr>
          <w:b w:val="0"/>
          <w:i w:val="0"/>
        </w:rPr>
        <w:t>Industry-neutral by design</w:t>
      </w:r>
    </w:p>
    <w:p>
      <w:pPr>
        <w:spacing w:before="0" w:after="120"/>
      </w:pPr>
      <w:r>
        <w:rPr>
          <w:b w:val="0"/>
          <w:i w:val="0"/>
        </w:rPr>
        <w:t>Kav AI's architecture is industry-agnostic. The same observe-reason-recommend loop applies wherever an operator runs critical fixed and rotating equipment under real process loads — steel and metals (blast furnaces, BOF/EAF shops, rolling mills, casters, coke ovens, utility piping), power generation, chemicals, pulp &amp; paper, cement, mining &amp; minerals, and downstream hydrocarbons. The domain model is configured per industry during onboarding using the operator's own equipment register, inspection history, and applicable codes (e.g., ASME, EN, API, ISO 31000-aligned RBI methodologies). Industry-specific failure-mode catalogs (corrosion, erosion, thermal fatigue, refractory degradation, abrasion, creep, weld defects, etc.) are loaded as configurable knowledge packs.</w:t>
      </w:r>
    </w:p>
    <w:p>
      <w:pPr>
        <w:spacing w:before="160" w:after="80"/>
        <w:jc w:val="center"/>
      </w:pPr>
      <w:r>
        <w:drawing>
          <wp:inline>
            <wp:extent cx="5760720" cy="4128516"/>
            <wp:docPr id="2" name="Picture 2"/>
            <wp:cNvGraphicFramePr>
              <a:graphicFrameLocks noChangeAspect="1"/>
            </wp:cNvGraphicFramePr>
            <a:graphic>
              <a:graphicData uri="http://schemas.openxmlformats.org/drawingml/2006/picture">
                <pic:pic>
                  <pic:nvPicPr>
                    <pic:cNvPr id="0" name="l1_context_diagram.png"/>
                    <pic:cNvPicPr/>
                  </pic:nvPicPr>
                  <pic:blipFill>
                    <a:blip r:embed="rId12"/>
                    <a:stretch>
                      <a:fillRect/>
                    </a:stretch>
                  </pic:blipFill>
                  <pic:spPr>
                    <a:xfrm>
                      <a:off x="0" y="0"/>
                      <a:ext cx="5760720" cy="4128516"/>
                    </a:xfrm>
                    <a:prstGeom prst="rect"/>
                  </pic:spPr>
                </pic:pic>
              </a:graphicData>
            </a:graphic>
          </wp:inline>
        </w:drawing>
      </w:r>
    </w:p>
    <w:p>
      <w:pPr>
        <w:spacing w:before="40" w:after="160"/>
        <w:jc w:val="left"/>
      </w:pPr>
      <w:r>
        <w:rPr>
          <w:i/>
          <w:color w:val="666666"/>
          <w:sz w:val="19"/>
        </w:rPr>
        <w:t>Figure 1.  Kav AI Platform — System Overview.  All data flows from operator systems are read-only. Dashed arrows indicate recommendation outputs requiring operator confirmation. In v3.3, the same system boundary now also encompasses robot patrol ingestion, CAD-backed asset context, and fixed-infrastructure continuous coverage without changing Kav AI's observe-reason-recommend posture.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Business consequence</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response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Unplanned shutdowns at large industrial facilities routinely cost six- to seven-figure sums per day in lost production, repair, and downstream impact¹</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Continuous anomaly detection surfaces emerging failures before forced outage is required</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Fewer than 10% of captured inspection imagery is reviewed by a qualified engineer under current workflows²</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AI-assisted triage reviews 100% of imagery, flagging anomalies for engineer confirmation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Facilities take 5–10 days to move from inspection capture to actionable integrity decision²</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Kav AI reduces the triage-to-work-order cycle from 5–10 days to </w:t>
            </w:r>
            <w:r>
              <w:rPr>
                <w:rFonts w:ascii="Arial" w:hAnsi="Arial"/>
                <w:b/>
                <w:i w:val="0"/>
                <w:color w:val="111111"/>
                <w:sz w:val="20"/>
              </w:rPr>
              <w:t>&lt; 4 hours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Top- vs. bottom-quartile availability gaps reported in industry RAM benchmarking studies translate into tens of millions of dollars annually per site³</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AI's benchmarked outputs provide directly comparable, defensible performance metrics that map onto an operator's chosen reliability benchmark</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Robot inspection coverage capped by ~90-minute battery endurance and manual charging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Fixed plant infrastructure (docking, beacons, 5G) plus high-endurance platforms unlock </w:t>
            </w:r>
            <w:r>
              <w:rPr>
                <w:rFonts w:ascii="Arial" w:hAnsi="Arial"/>
                <w:b/>
                <w:i w:val="0"/>
                <w:color w:val="111111"/>
                <w:sz w:val="20"/>
              </w:rPr>
              <w:t>≥ 20 h/day continuous coverage</w:t>
            </w:r>
            <w:r>
              <w:rPr>
                <w:rFonts w:ascii="Arial" w:hAnsi="Arial"/>
                <w:b w:val="0"/>
                <w:i w:val="0"/>
                <w:color w:val="111111"/>
                <w:sz w:val="20"/>
              </w:rPr>
              <w:t xml:space="preserve"> at one site</w:t>
            </w:r>
          </w:p>
        </w:tc>
      </w:tr>
    </w:tbl>
    <w:p>
      <w:pPr>
        <w:spacing w:before="40" w:after="120"/>
      </w:pPr>
    </w:p>
    <w:p>
      <w:pPr>
        <w:spacing w:before="40" w:after="160"/>
        <w:jc w:val="left"/>
      </w:pPr>
      <w:r>
        <w:rPr>
          <w:i/>
          <w:color w:val="666666"/>
          <w:sz w:val="19"/>
        </w:rPr>
        <w:t>¹ Industry reliability and downtime studies, multiple sectors, 2023–2025. ² Kav AI customer discovery interviews, 8 facilities, 2025. ³ Industry RAM benchmarking organizations (e.g., Solomon Associates for hydrocarbons; equivalent benchmarking exists for power, metals, pulp &amp; paper, and chemicals).</w:t>
      </w:r>
    </w:p>
    <w:p>
      <w:pPr>
        <w:pStyle w:val="Heading2"/>
      </w:pPr>
      <w:r>
        <w:rPr>
          <w:b w:val="0"/>
          <w:i w:val="0"/>
        </w:rPr>
        <w:t>What Kav AI is — and is not</w:t>
      </w:r>
    </w:p>
    <w:p>
      <w:pPr>
        <w:spacing w:before="0" w:after="120"/>
      </w:pPr>
      <w:r>
        <w:rPr>
          <w:b w:val="0"/>
          <w:i w:val="0"/>
        </w:rPr>
        <w:t>To anchor procurement and partner conversations on the same operating identity, the platform's boundaries are stated explicitly: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 xml:space="preserve">Kav AI </w:t>
            </w:r>
            <w:r>
              <w:rPr>
                <w:rFonts w:ascii="Arial" w:hAnsi="Arial"/>
                <w:b/>
                <w:i w:val="0"/>
                <w:color w:val="FFFFFF"/>
                <w:sz w:val="20"/>
              </w:rPr>
              <w:t>is</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 xml:space="preserve">Kav AI </w:t>
            </w:r>
            <w:r>
              <w:rPr>
                <w:rFonts w:ascii="Arial" w:hAnsi="Arial"/>
                <w:b/>
                <w:i w:val="0"/>
                <w:color w:val="FFFFFF"/>
                <w:sz w:val="20"/>
              </w:rPr>
              <w:t>is not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continuous integrity intelligence layer that observes, reasons, and recommends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control system. It never actuates equipment or writes commands to plant control systems.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vertical platform for asset integrity and predictive maintenance in asset-intensive industries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general-purpose industrial AI platform</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Hardware-agnostic across drones, robots, fixed sensors, and control / historian systems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robotics company. Locomotion is delegated to commodity legged, wheeled, and flying platforms.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decision-support tool for qualified integrity, reliability, and inspection engineers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replacement for operators or engineers. Human oversight is a design requirement.</w:t>
            </w:r>
          </w:p>
        </w:tc>
      </w:tr>
    </w:tbl>
    <w:p>
      <w:pPr>
        <w:spacing w:before="40" w:after="120"/>
      </w:pPr>
    </w:p>
    <w:p>
      <w:pPr>
        <w:pStyle w:val="Heading2"/>
      </w:pPr>
      <w:r>
        <w:rPr>
          <w:b w:val="0"/>
          <w:i w:val="0"/>
        </w:rPr>
        <w:t>Competitive Moat</w:t>
      </w:r>
    </w:p>
    <w:p>
      <w:pPr>
        <w:spacing w:before="0" w:after="120"/>
      </w:pPr>
      <w:r>
        <w:rPr>
          <w:b w:val="0"/>
          <w:i w:val="0"/>
        </w:rPr>
        <w:t>Kav AI's durable advantage rests on five reinforcing pillars that no single incumbent or combination of point solutions replicates: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Pillar</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Why it's hard to replicate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Closed-loop integrity intelligence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The only platform that connects visual inspection + operational / process data + failure mechanism reasoning + risk quantification + recommended action in a single automated chain (operating-limit exceedance → damage / failure mechanism → RBI risk → inspection plan).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Requires the integrity domain model (industry-specific failure-mode catalogs and RBI methodology), the multimodal AI pipeline, and the 3D spatial model — all tightly integrated. No incumbent owns all three.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correlation engine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Findings from drone campaigns, robot patrols, and operational data are tagged, matched within a 2 m spatial radius, and rescored across independent sources. Multi-source confirmed findings target </w:t>
            </w:r>
            <w:r>
              <w:rPr>
                <w:rFonts w:ascii="Arial" w:hAnsi="Arial"/>
                <w:b/>
                <w:i w:val="0"/>
                <w:color w:val="111111"/>
                <w:sz w:val="20"/>
              </w:rPr>
              <w:t>TPR &gt; 98% / FPR &lt; 2%</w:t>
            </w:r>
            <w:r>
              <w:rPr>
                <w:rFonts w:ascii="Arial" w:hAnsi="Arial"/>
                <w:b w:val="0"/>
                <w:i w:val="0"/>
                <w:color w:val="111111"/>
                <w:sz w:val="20"/>
              </w:rPr>
              <w: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Requires both the multimodal sensing layer </w:t>
            </w:r>
            <w:r>
              <w:rPr>
                <w:rFonts w:ascii="Arial" w:hAnsi="Arial"/>
                <w:b w:val="0"/>
                <w:i/>
                <w:color w:val="111111"/>
                <w:sz w:val="20"/>
              </w:rPr>
              <w:t>and</w:t>
            </w:r>
            <w:r>
              <w:rPr>
                <w:rFonts w:ascii="Arial" w:hAnsi="Arial"/>
                <w:b w:val="0"/>
                <w:i w:val="0"/>
                <w:color w:val="111111"/>
                <w:sz w:val="20"/>
              </w:rPr>
              <w:t xml:space="preserve"> the spatial+temporal correlation primitive. Single-source competitors are structurally exposed to environmental noise.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flywheel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Every inspection campaign and recurring patrol ingested improves facility-specific detection models. A customer who has run 10 campaigns and 90 days of repeat patrols has a progressively harder-to-replicate model tuned to their equipment, degradation patterns, route history, and operating conditions.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Model performance compounds with use. A competitor entering at campaign 1 faces the same cold-start problem Kav AI has already solved for that facility. This advantage widens with each campaign, patrol, and operator-confirmed outcome, and is reflected in the subscription model.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Deployment speed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90-day pilot framework with measurable success criteria — vs. 6–18 months for large industrial-data-platform or enterprise RBI / APM implementations.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Purpose-built for inspection data operators already capture (drone and handheld imagery). No mandatory LiDAR, no mandatory engineering CAD, no 6-month data model mapping required.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End-to-end, hardware-agnostic, partner-integrated solution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Ingests data from any visual sensor (DJI, Skydio, Flyability, FLIR), autonomous robot patrols via KRSI, any control / SCADA vendor via OPC UA (IEC 62541), and any historian (PI, InfluxDB, TimescaleDB, generic SQL), while accepting multiple engineering-model formats. The Active Physical Intelligence loop is delivered jointly with qualified mechanical-integrity / reliability engineering partners who own the human-in-the-loop validation seat.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 vendor lock-in at any layer. Operators keep their existing capture hardware, fleet vendors, control systems, and engineering systems. Kav AI adds the intelligence layer, partners add the engineering judgment, without requiring infrastructure replacement.</w:t>
            </w:r>
          </w:p>
        </w:tc>
      </w:tr>
    </w:tbl>
    <w:p>
      <w:pPr>
        <w:spacing w:before="40" w:after="120"/>
      </w:pPr>
    </w:p>
    <w:p>
      <w:pPr>
        <w:spacing w:before="0" w:after="120"/>
      </w:pPr>
      <w:r>
        <w:rPr>
          <w:b w:val="0"/>
          <w:i w:val="0"/>
        </w:rPr>
        <w:t>The moat deepens with every deployment: each facility's data trains better models, each integration validates the connector ecosystem, each partner review sharpens the integrity domain model, and each successful pilot becomes a reference customer. This is not a feature advantage — it is a compounding system advantage.</w:t>
      </w:r>
    </w:p>
    <w:p>
      <w:pPr>
        <w:pStyle w:val="Heading1"/>
      </w:pPr>
      <w:r>
        <w:rPr>
          <w:b w:val="0"/>
          <w:i w:val="0"/>
        </w:rPr>
        <w:t>The Opportunity</w:t>
      </w:r>
    </w:p>
    <w:p>
      <w:pPr>
        <w:pStyle w:val="Heading2"/>
      </w:pPr>
      <w:r>
        <w:rPr>
          <w:b w:val="0"/>
          <w:i w:val="0"/>
        </w:rPr>
        <w:t>Market context</w:t>
      </w:r>
    </w:p>
    <w:p>
      <w:pPr>
        <w:spacing w:before="0" w:after="120"/>
      </w:pPr>
      <w:r>
        <w:rPr>
          <w:b w:val="0"/>
          <w:i w:val="0"/>
        </w:rPr>
        <w:t xml:space="preserve">The global steel industry is the largest of Kav AI's target heavy-industry markets and one of the most demanding asset-integrity environments anywhere. World crude steel production reached </w:t>
      </w:r>
      <w:r>
        <w:rPr>
          <w:b/>
          <w:i w:val="0"/>
        </w:rPr>
        <w:t>1,849 million tonnes in 2025</w:t>
      </w:r>
      <w:r>
        <w:rPr>
          <w:b w:val="0"/>
          <w:i w:val="0"/>
        </w:rPr>
        <w:t xml:space="preserve">, split roughly </w:t>
      </w:r>
      <w:r>
        <w:rPr>
          <w:b/>
          <w:i w:val="0"/>
        </w:rPr>
        <w:t>69% blast-furnace / basic-oxygen (BF-BOF)</w:t>
      </w:r>
      <w:r>
        <w:rPr>
          <w:b w:val="0"/>
          <w:i w:val="0"/>
        </w:rPr>
        <w:t xml:space="preserve"> and </w:t>
      </w:r>
      <w:r>
        <w:rPr>
          <w:b/>
          <w:i w:val="0"/>
        </w:rPr>
        <w:t>30% electric-arc-furnace (EAF)</w:t>
      </w:r>
      <w:r>
        <w:rPr>
          <w:b w:val="0"/>
          <w:i w:val="0"/>
        </w:rPr>
        <w:t xml:space="preserve"> (World Steel Association, 2026). The two routes present very different asset bases, and both are under pressure: legacy integrated mills are ageing while more than half of newly announced capacity is EAF, signalling a structural pivot toward scrap- and DRI-fed steelmaking (OECD, 2024). In the United States that shift is already complete in aggregate — EAF is </w:t>
      </w:r>
      <w:r>
        <w:rPr>
          <w:b/>
          <w:i w:val="0"/>
        </w:rPr>
        <w:t>over 70%</w:t>
      </w:r>
      <w:r>
        <w:rPr>
          <w:b w:val="0"/>
          <w:i w:val="0"/>
        </w:rPr>
        <w:t xml:space="preserve"> of output — while the EU's integrated fleet faces rapid DRI-EAF conversion under the Emissions Trading System and the Carbon Border Adjustment Mechanism.</w:t>
      </w:r>
    </w:p>
    <w:p>
      <w:pPr>
        <w:spacing w:before="0" w:after="120"/>
      </w:pPr>
      <w:r>
        <w:rPr>
          <w:b w:val="0"/>
          <w:i w:val="0"/>
        </w:rPr>
        <w:t>The industry is highly consolidated at the top — China Baowu (~130 Mt), ArcelorMittal (~65 Mt), and Nippon Steel (~44 Mt) globally, with Nucor, Cleveland-Cliffs, and U.S. Steel leading North America (World Steel Association, 2025) — so a small number of enterprise accounts control a large share of the addressable asset base.</w:t>
      </w:r>
    </w:p>
    <w:p>
      <w:pPr>
        <w:spacing w:before="0" w:after="120"/>
      </w:pPr>
      <w:r>
        <w:rPr>
          <w:b/>
          <w:i w:val="0"/>
        </w:rPr>
        <w:t>The integrity opportunity.</w:t>
      </w:r>
      <w:r>
        <w:rPr>
          <w:b w:val="0"/>
          <w:i w:val="0"/>
        </w:rPr>
        <w:t xml:space="preserve"> Steel plants track maintenance as cost-per-tonne, and it is a large, optimisable line item: a typical integrated plant spends </w:t>
      </w:r>
      <w:r>
        <w:rPr>
          <w:b/>
          <w:i w:val="0"/>
        </w:rPr>
        <w:t>$25–60 per tonne</w:t>
      </w:r>
      <w:r>
        <w:rPr>
          <w:b w:val="0"/>
          <w:i w:val="0"/>
        </w:rPr>
        <w:t xml:space="preserve">, consuming </w:t>
      </w:r>
      <w:r>
        <w:rPr>
          <w:b/>
          <w:i w:val="0"/>
        </w:rPr>
        <w:t>15–25% of total conversion cost</w:t>
      </w:r>
      <w:r>
        <w:rPr>
          <w:b w:val="0"/>
          <w:i w:val="0"/>
        </w:rPr>
        <w:t xml:space="preserve"> — on the order of </w:t>
      </w:r>
      <w:r>
        <w:rPr>
          <w:b/>
          <w:i w:val="0"/>
        </w:rPr>
        <w:t>$170 million a year</w:t>
      </w:r>
      <w:r>
        <w:rPr>
          <w:b w:val="0"/>
          <w:i w:val="0"/>
        </w:rPr>
        <w:t xml:space="preserve"> for a mid-sized 3 Mt mill (industry benchmarks; Oxmaint, 2024). A disproportionate share of that spend is reactive — emergency parts procurement carries 40–60% premiums, and metal manufacturers spend an estimated 20–25% of the maintenance budget managing unplanned downtime (Bently Nevada, 2023). Moving from a reactive, calendar-based posture to predictive, condition-based integrity is the primary economic driver for enterprise asset-performance procurement — and the gap Kav AI is built to close.</w:t>
      </w:r>
    </w:p>
    <w:p>
      <w:pPr>
        <w:pStyle w:val="Heading3"/>
      </w:pPr>
      <w:r>
        <w:rPr>
          <w:b w:val="0"/>
          <w:i w:val="0"/>
        </w:rPr>
        <w:t>The steel asset base</w:t>
      </w:r>
    </w:p>
    <w:p>
      <w:pPr>
        <w:spacing w:before="0" w:after="120"/>
      </w:pPr>
      <w:r>
        <w:rPr>
          <w:b w:val="0"/>
          <w:i w:val="0"/>
        </w:rPr>
        <w:t>Steelmaking is a chain of extreme-temperature, high-abrasion, and corrosive processes whose failures drive the bulk of unplanned downtime. Kav AI's multimodal approach — RGB, radiometric thermal, and OGI imagery fused with operating telemetry and CAD / P&amp;ID context in a persistent 3D model — is suited to the physical and thermal deterioration of these assets.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Plant area</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Integrity-critical assets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Dominant degradation / failure modes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Ironmaking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Blast-furnace hearth &amp; shell, cooling staves, hot-blast stoves, coke-oven batteries, by-product plant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Hearth refractory erosion &amp; breakout, stave hot-spots, refractory spalling / thermal fatigue, COG-driven corrosion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Steelmaking &amp; casting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BOF / EAF vessels &amp; water-cooled panels, ladles, continuous casters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Refractory wear &amp; breakout, panel leaks (steam-explosion risk), caster roller-bearing fatigue, strand breakout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Rolling &amp; reheat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Reheat furnaces, hot / cold rolling mills, work &amp; backup rolls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Burner &amp; refractory failure, scale, contact fatigue &amp; abrasive wear, bearing failure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Gas &amp; utilities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BFG / COG / BOFG cleaning &amp; distribution, cooling-water, hydraulics, O₂ / Ar / N₂</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Pitting &amp; erosion-corrosion, under-deposit corrosion, toxic-gas leaks, scaling / fouling, fire &amp; asphyxiation hazards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Structures &amp; logistics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Heavy-duty EOT cranes, runway girders, building columns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Structural fatigue, web-to-flange weld cracking, rail misalignment, crane-skewing lateral loads</w:t>
            </w:r>
          </w:p>
        </w:tc>
      </w:tr>
    </w:tbl>
    <w:p>
      <w:pPr>
        <w:spacing w:before="40" w:after="120"/>
      </w:pPr>
    </w:p>
    <w:p>
      <w:pPr>
        <w:spacing w:before="0" w:after="120"/>
      </w:pPr>
      <w:r>
        <w:rPr>
          <w:b w:val="0"/>
          <w:i w:val="0"/>
        </w:rPr>
        <w:t xml:space="preserve">Crucially, the most critical metallurgical assets — blast furnaces, BOF vessels, ladles, and mill structures — are </w:t>
      </w:r>
      <w:r>
        <w:rPr>
          <w:b/>
          <w:i w:val="0"/>
        </w:rPr>
        <w:t>structurally and thermally stressed, often unpressurised</w:t>
      </w:r>
      <w:r>
        <w:rPr>
          <w:b w:val="0"/>
          <w:i w:val="0"/>
        </w:rPr>
        <w:t>, the opposite of the pressure-boundary corrosion loops that dominate refineries.</w:t>
      </w:r>
    </w:p>
    <w:p>
      <w:pPr>
        <w:pStyle w:val="Heading3"/>
      </w:pPr>
      <w:r>
        <w:rPr>
          <w:b w:val="0"/>
          <w:i w:val="0"/>
        </w:rPr>
        <w:t>Why steel integrity is hard today — and the codes that apply</w:t>
      </w:r>
    </w:p>
    <w:p>
      <w:pPr>
        <w:spacing w:before="0" w:after="120"/>
      </w:pPr>
      <w:r>
        <w:rPr>
          <w:b w:val="0"/>
          <w:i w:val="0"/>
        </w:rPr>
        <w:t>Inspection and condition monitoring in steel are fragmented: calendar-based preventive maintenance and reactive NDT, with drone photogrammetry, SCADA history, and engineering drawings living in separate tools. An inspector reviews a 3D point cloud in one suite, checks process temperatures in a historian, and references CAD in a document system — there is no single place where visual evidence, operating data, and engineering context line up.</w:t>
      </w:r>
    </w:p>
    <w:p>
      <w:pPr>
        <w:spacing w:before="0" w:after="120"/>
      </w:pPr>
      <w:r>
        <w:rPr>
          <w:b w:val="0"/>
          <w:i w:val="0"/>
        </w:rPr>
        <w:t xml:space="preserve">Steel's risk-based-inspection framework is also </w:t>
      </w:r>
      <w:r>
        <w:rPr>
          <w:b/>
          <w:i w:val="0"/>
        </w:rPr>
        <w:t>not</w:t>
      </w:r>
      <w:r>
        <w:rPr>
          <w:b w:val="0"/>
          <w:i w:val="0"/>
        </w:rPr>
        <w:t xml:space="preserve"> the oil-and-gas one. API 580 / 581's quantitative corrosion-rate methods are built for pressurised piping and vessels and do not neatly apply to refractory spalling, hearth erosion, or thermal fatigue. Steel operators instead lean on semi-quantitative methods — </w:t>
      </w:r>
      <w:r>
        <w:rPr>
          <w:b/>
          <w:i w:val="0"/>
        </w:rPr>
        <w:t>ASME PCC-3</w:t>
      </w:r>
      <w:r>
        <w:rPr>
          <w:b w:val="0"/>
          <w:i w:val="0"/>
        </w:rPr>
        <w:t xml:space="preserve"> (risk-based inspection planning), the European </w:t>
      </w:r>
      <w:r>
        <w:rPr>
          <w:b/>
          <w:i w:val="0"/>
        </w:rPr>
        <w:t>RIMAP</w:t>
      </w:r>
      <w:r>
        <w:rPr>
          <w:b w:val="0"/>
          <w:i w:val="0"/>
        </w:rPr>
        <w:t xml:space="preserve"> approach (which explicitly covers steel), and </w:t>
      </w:r>
      <w:r>
        <w:rPr>
          <w:b/>
          <w:i w:val="0"/>
        </w:rPr>
        <w:t>ASME PCC-2</w:t>
      </w:r>
      <w:r>
        <w:rPr>
          <w:b w:val="0"/>
          <w:i w:val="0"/>
        </w:rPr>
        <w:t xml:space="preserve"> for repairs — while heavy-duty mill cranes and structures follow the conservative </w:t>
      </w:r>
      <w:r>
        <w:rPr>
          <w:b/>
          <w:i w:val="0"/>
        </w:rPr>
        <w:t>AIST Technical Reports No. 6 and No. 13</w:t>
      </w:r>
      <w:r>
        <w:rPr>
          <w:b w:val="0"/>
          <w:i w:val="0"/>
        </w:rPr>
        <w:t>, not the general CMAA specifications (CADE, 2023; AIST, 2021). This edition speaks that vocabulary — operating-limit / failure-mechanism (OLW / FMR) framing and ASME / EN / AIST codes — rather than transplanting refinery API conventions.</w:t>
      </w:r>
    </w:p>
    <w:p>
      <w:pPr>
        <w:pStyle w:val="Heading2"/>
      </w:pPr>
      <w:r>
        <w:rPr>
          <w:b w:val="0"/>
          <w:i w:val="0"/>
        </w:rPr>
        <w:t>The cost of unplanned downtime</w:t>
      </w:r>
    </w:p>
    <w:p>
      <w:pPr>
        <w:spacing w:before="0" w:after="120"/>
      </w:pPr>
      <w:r>
        <w:rPr>
          <w:b w:val="0"/>
          <w:i w:val="0"/>
        </w:rPr>
        <w:t>The penalty for unplanned downtime in steel is among the highest in heavy manufacturing, because the process is continuous and the equipment carries enormous thermal inertia.</w:t>
      </w:r>
    </w:p>
    <w:p>
      <w:pPr>
        <w:spacing w:before="0" w:after="60"/>
        <w:ind w:left="504" w:hanging="288"/>
      </w:pPr>
      <w:r>
        <w:rPr>
          <w:b w:val="0"/>
        </w:rPr>
        <w:t xml:space="preserve">•  </w:t>
      </w:r>
      <w:r>
        <w:rPr>
          <w:b w:val="0"/>
          <w:i w:val="0"/>
        </w:rPr>
        <w:t xml:space="preserve">A 24-hour unplanned shutdown at a large integrated mill can forfeit on the order of </w:t>
      </w:r>
      <w:r>
        <w:rPr>
          <w:b/>
          <w:i w:val="0"/>
        </w:rPr>
        <w:t>$24 million per day</w:t>
      </w:r>
      <w:r>
        <w:rPr>
          <w:b w:val="0"/>
          <w:i w:val="0"/>
        </w:rPr>
        <w:t xml:space="preserve"> (~$1 M/hour) in lost production and recovery — an industry estimate, not a per-site guarantee (Bently Nevada, 2023).</w:t>
      </w:r>
    </w:p>
    <w:p>
      <w:pPr>
        <w:spacing w:before="0" w:after="60"/>
        <w:ind w:left="504" w:hanging="288"/>
      </w:pPr>
      <w:r>
        <w:rPr>
          <w:b w:val="0"/>
        </w:rPr>
        <w:t xml:space="preserve">•  </w:t>
      </w:r>
      <w:r>
        <w:rPr>
          <w:b w:val="0"/>
          <w:i w:val="0"/>
        </w:rPr>
        <w:t xml:space="preserve">Downstream is lower but still severe: rolling / processing downtime runs </w:t>
      </w:r>
      <w:r>
        <w:rPr>
          <w:b/>
          <w:i w:val="0"/>
        </w:rPr>
        <w:t>$8,000–$20,000 per hour</w:t>
      </w:r>
      <w:r>
        <w:rPr>
          <w:b w:val="0"/>
          <w:i w:val="0"/>
        </w:rPr>
        <w:t xml:space="preserve"> (Innovapptive, 2024), and a stalled overhead crane — a logistics chokepoint — costs </w:t>
      </w:r>
      <w:r>
        <w:rPr>
          <w:b/>
          <w:i w:val="0"/>
        </w:rPr>
        <w:t>$10,000 to $100,000+ per hour</w:t>
      </w:r>
      <w:r>
        <w:rPr>
          <w:b w:val="0"/>
          <w:i w:val="0"/>
        </w:rPr>
        <w:t xml:space="preserve"> (Mazzella, 2024).</w:t>
      </w:r>
    </w:p>
    <w:p>
      <w:pPr>
        <w:spacing w:before="0" w:after="60"/>
        <w:ind w:left="504" w:hanging="288"/>
      </w:pPr>
      <w:r>
        <w:rPr>
          <w:b w:val="0"/>
        </w:rPr>
        <w:t xml:space="preserve">•  </w:t>
      </w:r>
      <w:r>
        <w:rPr>
          <w:b w:val="0"/>
          <w:i w:val="0"/>
        </w:rPr>
        <w:t xml:space="preserve">Surveys put unplanned outages at monthly or more frequent for roughly </w:t>
      </w:r>
      <w:r>
        <w:rPr>
          <w:b/>
          <w:i w:val="0"/>
        </w:rPr>
        <w:t>69% of industrial plants</w:t>
      </w:r>
      <w:r>
        <w:rPr>
          <w:b w:val="0"/>
          <w:i w:val="0"/>
        </w:rPr>
        <w:t xml:space="preserve"> (WorkTrek, 2024).</w:t>
      </w:r>
    </w:p>
    <w:p>
      <w:pPr>
        <w:spacing w:before="0" w:after="120"/>
      </w:pPr>
      <w:r>
        <w:rPr>
          <w:b w:val="0"/>
          <w:i w:val="0"/>
        </w:rPr>
        <w:t xml:space="preserve">The flip side is the business case: industry analyses attribute a </w:t>
      </w:r>
      <w:r>
        <w:rPr>
          <w:b/>
          <w:i w:val="0"/>
        </w:rPr>
        <w:t>3–8× return</w:t>
      </w:r>
      <w:r>
        <w:rPr>
          <w:b w:val="0"/>
          <w:i w:val="0"/>
        </w:rPr>
        <w:t xml:space="preserve"> to moving from reactive to predictive, condition-based maintenance (Oxmaint, 2024), and documented robot-inspection programmes on coke-oven batteries have cut human confined-space entry by </w:t>
      </w:r>
      <w:r>
        <w:rPr>
          <w:b/>
          <w:i w:val="0"/>
        </w:rPr>
        <w:t>over 60%</w:t>
      </w:r>
      <w:r>
        <w:rPr>
          <w:b w:val="0"/>
          <w:i w:val="0"/>
        </w:rPr>
        <w:t xml:space="preserve"> (iFactory, 2024). Kav AI pilots are scoped to exactly these metrics — </w:t>
      </w:r>
      <w:r>
        <w:rPr>
          <w:b w:val="0"/>
          <w:i/>
        </w:rPr>
        <w:t>cost of downtime avoided</w:t>
      </w:r>
      <w:r>
        <w:rPr>
          <w:b w:val="0"/>
          <w:i w:val="0"/>
        </w:rPr>
        <w:t xml:space="preserve"> and </w:t>
      </w:r>
      <w:r>
        <w:rPr>
          <w:b w:val="0"/>
          <w:i/>
        </w:rPr>
        <w:t>reduction in hazardous-entry hours</w:t>
      </w:r>
      <w:r>
        <w:rPr>
          <w:b w:val="0"/>
          <w:i w:val="0"/>
        </w:rPr>
        <w:t xml:space="preserve"> — on a single high-value asset such as a caster, a blast-furnace cooling system, or a crane bay.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Sourcing</w:t>
            </w:r>
          </w:p>
          <w:p>
            <w:pPr>
              <w:spacing w:before="0" w:after="0"/>
            </w:pPr>
            <w:r>
              <w:rPr>
                <w:rFonts w:ascii="Arial" w:hAnsi="Arial"/>
                <w:b w:val="0"/>
                <w:i w:val="0"/>
                <w:color w:val="222222"/>
                <w:sz w:val="20"/>
              </w:rPr>
              <w:t>These figures are drawn from the steel asset-integrity market research compiled in docs/portfolio/client/steel/research/. Production and route figures (World Steel Association, 2026) are established; downtime, maintenance-spend, and ROI figures are industry estimates and are presented as such, not as site-specific guarantees.</w:t>
            </w:r>
          </w:p>
        </w:tc>
      </w:tr>
    </w:tbl>
    <w:p>
      <w:pPr>
        <w:spacing w:before="40" w:after="120"/>
      </w:pPr>
    </w:p>
    <w:p>
      <w:pPr>
        <w:pStyle w:val="Heading2"/>
      </w:pPr>
      <w:r>
        <w:rPr>
          <w:b w:val="0"/>
          <w:i w:val="0"/>
        </w:rPr>
        <w:t>Why now</w:t>
      </w:r>
    </w:p>
    <w:p>
      <w:pPr>
        <w:spacing w:before="0" w:after="120"/>
      </w:pPr>
      <w:r>
        <w:rPr>
          <w:b w:val="0"/>
          <w:i w:val="0"/>
        </w:rPr>
        <w:t>Five forces make a steel-specific, multimodal integrity platform both feasible and timely:</w:t>
      </w:r>
    </w:p>
    <w:p>
      <w:pPr>
        <w:spacing w:before="0" w:after="60"/>
        <w:ind w:left="504" w:hanging="288"/>
      </w:pPr>
      <w:r>
        <w:rPr>
          <w:b w:val="0"/>
        </w:rPr>
        <w:t xml:space="preserve">•  </w:t>
      </w:r>
      <w:r>
        <w:rPr>
          <w:b/>
          <w:i w:val="0"/>
        </w:rPr>
        <w:t>Photorealistic 3D from drone imagery</w:t>
      </w:r>
      <w:r>
        <w:rPr>
          <w:b w:val="0"/>
          <w:i w:val="0"/>
        </w:rPr>
        <w:t xml:space="preserve"> — 3D Gaussian Splatting (3DGS) now creates navigable, photo-quality facility models directly from standard drone imagery. Before 3DGS, equivalent fidelity required LiDAR at ~100× the cost.</w:t>
      </w:r>
    </w:p>
    <w:p>
      <w:pPr>
        <w:spacing w:before="0" w:after="60"/>
        <w:ind w:left="504" w:hanging="288"/>
      </w:pPr>
      <w:r>
        <w:rPr>
          <w:b w:val="0"/>
        </w:rPr>
        <w:t xml:space="preserve">•  </w:t>
      </w:r>
      <w:r>
        <w:rPr>
          <w:b/>
          <w:i w:val="0"/>
        </w:rPr>
        <w:t>Multimodal AI reasoning</w:t>
      </w:r>
      <w:r>
        <w:rPr>
          <w:b w:val="0"/>
          <w:i w:val="0"/>
        </w:rPr>
        <w:t xml:space="preserve"> — multimodal large language models crossed the threshold for correlating visual, thermal, and sensor data in a single analysis — the foundation for connecting what you see with what your instruments tell you.</w:t>
      </w:r>
    </w:p>
    <w:p>
      <w:pPr>
        <w:spacing w:before="0" w:after="60"/>
        <w:ind w:left="504" w:hanging="288"/>
      </w:pPr>
      <w:r>
        <w:rPr>
          <w:b w:val="0"/>
        </w:rPr>
        <w:t xml:space="preserve">•  </w:t>
      </w:r>
      <w:r>
        <w:rPr>
          <w:b/>
          <w:i w:val="0"/>
        </w:rPr>
        <w:t>Vendor-neutral control-system access</w:t>
      </w:r>
      <w:r>
        <w:rPr>
          <w:b w:val="0"/>
          <w:i w:val="0"/>
        </w:rPr>
        <w:t xml:space="preserve"> — OPC UA adoption reached the level required for read-only integration across the major DCS / SCADA vendors (Siemens, Rockwell, AVEVA, Emerson, Honeywell, and others) without vendor lock-in.</w:t>
      </w:r>
    </w:p>
    <w:p>
      <w:pPr>
        <w:spacing w:before="0" w:after="60"/>
        <w:ind w:left="504" w:hanging="288"/>
      </w:pPr>
      <w:r>
        <w:rPr>
          <w:b w:val="0"/>
        </w:rPr>
        <w:t xml:space="preserve">•  </w:t>
      </w:r>
      <w:r>
        <w:rPr>
          <w:b/>
          <w:i w:val="0"/>
        </w:rPr>
        <w:t>Plug-and-play AI tools</w:t>
      </w:r>
      <w:r>
        <w:rPr>
          <w:b w:val="0"/>
          <w:i w:val="0"/>
        </w:rPr>
        <w:t xml:space="preserve"> — new integration standards make it possible to connect AI directly to specialised detection models as callable tools — removing the custom integration work that previously made multi-sensor AI pipelines impractical.</w:t>
      </w:r>
    </w:p>
    <w:p>
      <w:pPr>
        <w:spacing w:before="0" w:after="60"/>
        <w:ind w:left="504" w:hanging="288"/>
      </w:pPr>
      <w:r>
        <w:rPr>
          <w:b w:val="0"/>
        </w:rPr>
        <w:t xml:space="preserve">•  </w:t>
      </w:r>
      <w:r>
        <w:rPr>
          <w:b/>
          <w:i w:val="0"/>
        </w:rPr>
        <w:t>A changing asset base (decarbonisation)</w:t>
      </w:r>
      <w:r>
        <w:rPr>
          <w:b w:val="0"/>
          <w:i w:val="0"/>
        </w:rPr>
        <w:t xml:space="preserve"> — steel is responsible for ~7% of global CO₂, and the EAF share is projected past 40% by 2030 (IEA; market analyses, 2024). The shift to DRI and hydrogen-based ironmaking introduces </w:t>
      </w:r>
      <w:r>
        <w:rPr>
          <w:b w:val="0"/>
          <w:i/>
        </w:rPr>
        <w:t>new, partly invisible</w:t>
      </w:r>
      <w:r>
        <w:rPr>
          <w:b w:val="0"/>
          <w:i w:val="0"/>
        </w:rPr>
        <w:t xml:space="preserve"> failure mechanisms — high-temperature hydrogen attack, hydrogen embrittlement, aggressive refractory attack, and an invisible-flame explosive-gas hazard — that calendar-based visual inspection cannot catch and that demand continuous OGI and multimodal monitoring (Midrex, 2025; World Steel Association).</w:t>
      </w:r>
    </w:p>
    <w:p>
      <w:pPr>
        <w:pStyle w:val="Heading2"/>
      </w:pPr>
      <w:r>
        <w:rPr>
          <w:b w:val="0"/>
          <w:i w:val="0"/>
        </w:rPr>
        <w:t>Competitive landscape</w:t>
      </w:r>
    </w:p>
    <w:p>
      <w:pPr>
        <w:spacing w:before="0" w:after="120"/>
      </w:pPr>
      <w:r>
        <w:rPr>
          <w:b w:val="0"/>
          <w:i w:val="0"/>
        </w:rPr>
        <w:t xml:space="preserve">Kav AI's most important competitor is the combination of tools the integrity / reliability team already pays for: an APM / predictive-maintenance platform, a process historian, and a CMMS / EAM (e.g., SAP PM, Maximo, or SAP APM). In steel production, the clearest named incumbent is </w:t>
      </w:r>
      <w:r>
        <w:rPr>
          <w:b/>
          <w:i w:val="0"/>
        </w:rPr>
        <w:t>AVEVA APM with the PI System</w:t>
      </w:r>
      <w:r>
        <w:rPr>
          <w:b w:val="0"/>
          <w:i w:val="0"/>
        </w:rPr>
        <w:t>: it already connects blast-furnace, EAF, caster, rolling-mill, and mining / logistics telemetry into predictive-maintenance workflows. Kav AI must demonstrate that it delivers more value than extending this incumbent stack alone.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they do well</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they lack</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position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AVEVA APM + PI System for steel production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Strongest steel-specific incumbent. PI Data Archive and Asset Framework organize high-frequency OT tags into asset models; AVEVA Predictive Analytics / PRiSM uses advanced pattern recognition to learn "known good" behavior; CONNECT, Production Management, and Mobile Operator extend the digital thread from engineering templates to operations. Public steel / metals examples include blast-furnace refractory wear modeling, EAF power-curve optimization, hot-strip-mill roll-track anomaly classification, and pit-to-port logistics optimization.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Historian- and APM-centric. Its predictive layer is strongest where dense sensor tags already exist, but it does not natively create a photorealistic 3D spatial record from inspection imagery, does not fuse drone / robot visual evidence with operational telemetry inside the same geometry, and does not provide Kav AI's closed-loop failure-mechanism → risk → physical-validation workflow.</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Treat AVEVA as the primary steel competitor and a likely integration source. PI provides the </w:t>
            </w:r>
            <w:r>
              <w:rPr>
                <w:rFonts w:ascii="Arial" w:hAnsi="Arial"/>
                <w:b/>
                <w:i w:val="0"/>
                <w:color w:val="111111"/>
                <w:sz w:val="20"/>
              </w:rPr>
              <w:t>When</w:t>
            </w:r>
            <w:r>
              <w:rPr>
                <w:rFonts w:ascii="Arial" w:hAnsi="Arial"/>
                <w:b w:val="0"/>
                <w:i w:val="0"/>
                <w:color w:val="111111"/>
                <w:sz w:val="20"/>
              </w:rPr>
              <w:t xml:space="preserve"> (time-series) and much of the </w:t>
            </w:r>
            <w:r>
              <w:rPr>
                <w:rFonts w:ascii="Arial" w:hAnsi="Arial"/>
                <w:b/>
                <w:i w:val="0"/>
                <w:color w:val="111111"/>
                <w:sz w:val="20"/>
              </w:rPr>
              <w:t>asset context</w:t>
            </w:r>
            <w:r>
              <w:rPr>
                <w:rFonts w:ascii="Arial" w:hAnsi="Arial"/>
                <w:b w:val="0"/>
                <w:i w:val="0"/>
                <w:color w:val="111111"/>
                <w:sz w:val="20"/>
              </w:rPr>
              <w:t xml:space="preserve">; Kav AI adds the </w:t>
            </w:r>
            <w:r>
              <w:rPr>
                <w:rFonts w:ascii="Arial" w:hAnsi="Arial"/>
                <w:b/>
                <w:i w:val="0"/>
                <w:color w:val="111111"/>
                <w:sz w:val="20"/>
              </w:rPr>
              <w:t>Where</w:t>
            </w:r>
            <w:r>
              <w:rPr>
                <w:rFonts w:ascii="Arial" w:hAnsi="Arial"/>
                <w:b w:val="0"/>
                <w:i w:val="0"/>
                <w:color w:val="111111"/>
                <w:sz w:val="20"/>
              </w:rPr>
              <w:t xml:space="preserve"> (3D spatial evidence), the </w:t>
            </w:r>
            <w:r>
              <w:rPr>
                <w:rFonts w:ascii="Arial" w:hAnsi="Arial"/>
                <w:b/>
                <w:i w:val="0"/>
                <w:color w:val="111111"/>
                <w:sz w:val="20"/>
              </w:rPr>
              <w:t>What</w:t>
            </w:r>
            <w:r>
              <w:rPr>
                <w:rFonts w:ascii="Arial" w:hAnsi="Arial"/>
                <w:b w:val="0"/>
                <w:i w:val="0"/>
                <w:color w:val="111111"/>
                <w:sz w:val="20"/>
              </w:rPr>
              <w:t xml:space="preserve"> (visual / thermal anomaly and failure-mechanism reasoning), and the </w:t>
            </w:r>
            <w:r>
              <w:rPr>
                <w:rFonts w:ascii="Arial" w:hAnsi="Arial"/>
                <w:b/>
                <w:i w:val="0"/>
                <w:color w:val="111111"/>
                <w:sz w:val="20"/>
              </w:rPr>
              <w:t>So what</w:t>
            </w:r>
            <w:r>
              <w:rPr>
                <w:rFonts w:ascii="Arial" w:hAnsi="Arial"/>
                <w:b w:val="0"/>
                <w:i w:val="0"/>
                <w:color w:val="111111"/>
                <w:sz w:val="20"/>
              </w:rPr>
              <w:t xml:space="preserve"> (engineer-confirmed inspection plan). Kav AI reads from PI / AVEVA via OPC UA or PI Web API and returns confirmed findings to the customer's chosen APM / EAM workflow.</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Other established RBI / APM platforms</w:t>
            </w:r>
            <w:r>
              <w:rPr>
                <w:rFonts w:ascii="Arial" w:hAnsi="Arial"/>
                <w:b w:val="0"/>
                <w:i w:val="0"/>
                <w:color w:val="111111"/>
                <w:sz w:val="20"/>
              </w:rPr>
              <w:t xml:space="preserve"> (GE Vernova / Meridium, AspenTech Mtell, SAP APM, Hexagon ALI)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Mature inspection planning, RBI methodology embedded, large installed base, enterprise-certified. Mtell adds strong machine-learning failure detection on process telemetry.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One-dimensional and tabular — built around time-series and engineering records. No native visual inspection layer, no photorealistic 3D model, and (for Mtell) no ability to ingest or contextualise visual / thermal drone imagery.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is the physical-world visibility layer these platforms lack. The two are complementary: the incumbent owns the engineering / maintenance record; Kav AI closes the loop between operational data and physical condition.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Inspection hardware</w:t>
            </w:r>
            <w:r>
              <w:rPr>
                <w:rFonts w:ascii="Arial" w:hAnsi="Arial"/>
                <w:b w:val="0"/>
                <w:i w:val="0"/>
                <w:color w:val="111111"/>
                <w:sz w:val="20"/>
              </w:rPr>
              <w:t xml:space="preserve"> (Flyability, DJI, quadruped robots)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Excellent field data collection in confined and GPS-denied steel environments — exhaust stacks, coke-oven batteries, gas ducts.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 data, not enterprise correlation. No integration with CAD, P&amp;ID, or historian data; no multimodal reasoning across sources.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Hardware-agnostic; Kav AI ingests their imagery as a compatible source and supplies the correlation, 3D context, and reasoning layer they lack.</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 lifecycle / EAM platforms</w:t>
            </w:r>
            <w:r>
              <w:rPr>
                <w:rFonts w:ascii="Arial" w:hAnsi="Arial"/>
                <w:b w:val="0"/>
                <w:i w:val="0"/>
                <w:color w:val="111111"/>
                <w:sz w:val="20"/>
              </w:rPr>
              <w:t xml:space="preserve"> (SAP S/4 EAM, IBM Maximo, Hexagon ALI)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Comprehensive asset lifecycle management, work-order scheduling, inventory / procurement linkage.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Execution platforms, not diagnostic tools — they require external inputs to trigger condition-based work orders.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provides the AI-native diagnosis and feeds confirmed findings into the operator's existing EAM / compliance workflows.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Visual inspection + operational data context + 3D spatial model + conversational AI + cross-source correlation engine — unified, hardware-agnostic and system-agnostic. </w:t>
            </w:r>
            <w:r>
              <w:rPr>
                <w:rFonts w:ascii="Arial" w:hAnsi="Arial"/>
                <w:b/>
                <w:i w:val="0"/>
                <w:color w:val="111111"/>
                <w:sz w:val="20"/>
              </w:rPr>
              <w:t>The only platform that closes the full loop: sensor data → failure mechanism → risk score → inspection plan → physical validation — continuously, as Active Physical Intelligence.</w:t>
            </w:r>
            <w:r>
              <w:rPr>
                <w:rFonts w:ascii="Arial" w:hAnsi="Arial"/>
                <w:b w:val="0"/>
                <w:i w:val="0"/>
                <w:color w:val="111111"/>
                <w:sz w:val="20"/>
              </w:rPr>
              <w:t xml:space="preserve"> Multi-source confirmed findings target TPR &gt; 98% / FPR &lt; 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The only platform that reads visual inspection data and operational data in the same spatial model, runs cross-source confirmation across drone, robot, and operational data in one engine, and provides physical-validation closure no incumbent offers.</w:t>
            </w:r>
          </w:p>
        </w:tc>
      </w:tr>
    </w:tbl>
    <w:p>
      <w:pPr>
        <w:spacing w:before="40" w:after="120"/>
      </w:pPr>
    </w:p>
    <w:p>
      <w:pPr>
        <w:spacing w:before="160" w:after="80"/>
        <w:jc w:val="center"/>
      </w:pPr>
      <w:r>
        <w:drawing>
          <wp:inline>
            <wp:extent cx="5760720" cy="2714337"/>
            <wp:docPr id="3" name="Picture 3"/>
            <wp:cNvGraphicFramePr>
              <a:graphicFrameLocks noChangeAspect="1"/>
            </wp:cNvGraphicFramePr>
            <a:graphic>
              <a:graphicData uri="http://schemas.openxmlformats.org/drawingml/2006/picture">
                <pic:pic>
                  <pic:nvPicPr>
                    <pic:cNvPr id="0" name="mermaid_fig2_1.png"/>
                    <pic:cNvPicPr/>
                  </pic:nvPicPr>
                  <pic:blipFill>
                    <a:blip r:embed="rId13"/>
                    <a:stretch>
                      <a:fillRect/>
                    </a:stretch>
                  </pic:blipFill>
                  <pic:spPr>
                    <a:xfrm>
                      <a:off x="0" y="0"/>
                      <a:ext cx="5760720" cy="2714337"/>
                    </a:xfrm>
                    <a:prstGeom prst="rect"/>
                  </pic:spPr>
                </pic:pic>
              </a:graphicData>
            </a:graphic>
          </wp:inline>
        </w:drawing>
      </w:r>
    </w:p>
    <w:p>
      <w:pPr>
        <w:spacing w:before="40" w:after="160"/>
        <w:jc w:val="left"/>
      </w:pPr>
      <w:r>
        <w:rPr>
          <w:i/>
          <w:color w:val="666666"/>
          <w:sz w:val="19"/>
        </w:rPr>
        <w:t>Figure 2.  System Architecture &amp; Purdue Model Alignment.  Kav AI connects to Level 3 historians or OPC UA middleware, maintaining a strictly read-only relationship with the control network (Level 2). Robot, CAD, and fixed-infrastructure sources strengthen the integrity context while the OT boundary remains unchanged.</w:t>
      </w:r>
    </w:p>
    <w:p>
      <w:pPr>
        <w:pStyle w:val="Heading2"/>
      </w:pPr>
      <w:r>
        <w:rPr>
          <w:b w:val="0"/>
          <w:i w:val="0"/>
        </w:rPr>
        <w:t>The Data Flywheel — Kav AI's Compounding Advantage</w:t>
      </w:r>
    </w:p>
    <w:p>
      <w:pPr>
        <w:spacing w:before="0" w:after="120"/>
      </w:pPr>
      <w:r>
        <w:rPr>
          <w:b w:val="0"/>
          <w:i w:val="0"/>
        </w:rPr>
        <w:t>Kav AI's competitive moat is not static — it compounds with every inspection campaign a customer runs through the platform.</w:t>
      </w:r>
    </w:p>
    <w:p>
      <w:pPr>
        <w:spacing w:before="0" w:after="120"/>
      </w:pPr>
      <w:r>
        <w:rPr>
          <w:b/>
          <w:i w:val="0"/>
        </w:rPr>
        <w:t>How it works:</w:t>
      </w:r>
    </w:p>
    <w:p>
      <w:pPr>
        <w:spacing w:before="0" w:after="60"/>
        <w:ind w:left="504" w:hanging="288"/>
      </w:pPr>
      <w:r>
        <w:rPr>
          <w:b w:val="0"/>
        </w:rPr>
        <w:t xml:space="preserve">1.  </w:t>
      </w:r>
      <w:r>
        <w:rPr>
          <w:b/>
          <w:i w:val="0"/>
        </w:rPr>
        <w:t>Campaign ingestion</w:t>
      </w:r>
      <w:r>
        <w:rPr>
          <w:b w:val="0"/>
          <w:i w:val="0"/>
        </w:rPr>
        <w:t xml:space="preserve"> — each inspection campaign (RGB, thermal, OGI) adds labelled examples of facility-specific defect patterns, degradation signatures, and equipment conditions to the training corpus.</w:t>
      </w:r>
    </w:p>
    <w:p>
      <w:pPr>
        <w:spacing w:before="0" w:after="60"/>
        <w:ind w:left="504" w:hanging="288"/>
      </w:pPr>
      <w:r>
        <w:rPr>
          <w:b w:val="0"/>
        </w:rPr>
        <w:t xml:space="preserve">2.  </w:t>
      </w:r>
      <w:r>
        <w:rPr>
          <w:b/>
          <w:i w:val="0"/>
        </w:rPr>
        <w:t>Patrol accumulation</w:t>
      </w:r>
      <w:r>
        <w:rPr>
          <w:b w:val="0"/>
          <w:i w:val="0"/>
        </w:rPr>
        <w:t xml:space="preserve"> — repeated robot patrols add temporal history on the same assets, turning one-time detections into trendable condition signals.</w:t>
      </w:r>
    </w:p>
    <w:p>
      <w:pPr>
        <w:spacing w:before="0" w:after="60"/>
        <w:ind w:left="504" w:hanging="288"/>
      </w:pPr>
      <w:r>
        <w:rPr>
          <w:b w:val="0"/>
        </w:rPr>
        <w:t xml:space="preserve">3.  </w:t>
      </w:r>
      <w:r>
        <w:rPr>
          <w:b/>
          <w:i w:val="0"/>
        </w:rPr>
        <w:t>Model refinement</w:t>
      </w:r>
      <w:r>
        <w:rPr>
          <w:b w:val="0"/>
          <w:i w:val="0"/>
        </w:rPr>
        <w:t xml:space="preserve"> — detection models are retrained after each campaign and patrol cycle; facility-specific patterns (e.g., refractory-wear signatures on a specific lining, thermal profiles unique to a particular furnace) improve precision.</w:t>
      </w:r>
    </w:p>
    <w:p>
      <w:pPr>
        <w:spacing w:before="0" w:after="60"/>
        <w:ind w:left="504" w:hanging="288"/>
      </w:pPr>
      <w:r>
        <w:rPr>
          <w:b w:val="0"/>
        </w:rPr>
        <w:t xml:space="preserve">4.  </w:t>
      </w:r>
      <w:r>
        <w:rPr>
          <w:b/>
          <w:i w:val="0"/>
        </w:rPr>
        <w:t>OOD detector calibration</w:t>
      </w:r>
      <w:r>
        <w:rPr>
          <w:b w:val="0"/>
          <w:i w:val="0"/>
        </w:rPr>
        <w:t xml:space="preserve"> — the Out-of-Distribution detector is retrained on the expanded input distribution, reducing false OOD flags.</w:t>
      </w:r>
    </w:p>
    <w:p>
      <w:pPr>
        <w:spacing w:before="0" w:after="60"/>
        <w:ind w:left="504" w:hanging="288"/>
      </w:pPr>
      <w:r>
        <w:rPr>
          <w:b w:val="0"/>
        </w:rPr>
        <w:t xml:space="preserve">5.  </w:t>
      </w:r>
      <w:r>
        <w:rPr>
          <w:b/>
          <w:i w:val="0"/>
        </w:rPr>
        <w:t>Confidence calibration</w:t>
      </w:r>
      <w:r>
        <w:rPr>
          <w:b w:val="0"/>
          <w:i w:val="0"/>
        </w:rPr>
        <w:t xml:space="preserve"> — operator confirmations, dismissals, and cross-source corroboration refine the confidence-scoring model.</w:t>
      </w:r>
    </w:p>
    <w:p>
      <w:pPr>
        <w:spacing w:before="0" w:after="120"/>
      </w:pPr>
      <w:r>
        <w:rPr>
          <w:b/>
          <w:i w:val="0"/>
        </w:rPr>
        <w:t>The compounding effect:</w:t>
      </w:r>
      <w:r>
        <w:rPr>
          <w:b w:val="0"/>
          <w:i w:val="0"/>
        </w:rPr>
        <w:t xml:space="preserve"> a customer who has run ten campaigns and built months of repeat patrol history has a detection model tuned to their specific equipment, degradation patterns, and operating conditions that a new entrant cannot replicate without running the same sequence — making Kav AI progressively harder to displace at each facility.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Competitive risk acknowledgement — AVEVA steel-stack extension</w:t>
            </w:r>
          </w:p>
          <w:p>
            <w:pPr>
              <w:spacing w:before="0" w:after="0"/>
            </w:pPr>
            <w:r>
              <w:rPr>
                <w:rFonts w:ascii="Arial" w:hAnsi="Arial"/>
                <w:b w:val="0"/>
                <w:i w:val="0"/>
                <w:color w:val="222222"/>
                <w:sz w:val="20"/>
              </w:rPr>
              <w:t xml:space="preserve">The most likely named incumbent threat in steel is AVEVA extending PI System + APM + CONNECT + Production Management from predictive maintenance into more complete reliability decision support. </w:t>
            </w:r>
            <w:r>
              <w:rPr>
                <w:rFonts w:ascii="Arial" w:hAnsi="Arial"/>
                <w:b/>
                <w:i w:val="0"/>
                <w:color w:val="222222"/>
                <w:sz w:val="20"/>
              </w:rPr>
              <w:t>Kav AI's durable advantages if this happens:</w:t>
            </w:r>
            <w:r>
              <w:rPr>
                <w:rFonts w:ascii="Arial" w:hAnsi="Arial"/>
                <w:b w:val="0"/>
                <w:i w:val="0"/>
                <w:color w:val="222222"/>
                <w:sz w:val="20"/>
              </w:rPr>
              <w:t xml:space="preserve"> (1) a photorealistic 3D facility model built from drone / robot imagery operators already capture — AVEVA's strength is the time-series and engineering digital thread, not a vision-native spatial condition record; (2) cross-source physical validation that correlates visual / thermal findings, patrol history, and operating telemetry in the same geometry; (3) failure-mechanism / inspection-plan closure, not only anomaly alerting; (4) deployment speed and a data flywheel that compounds facility-specific models while the incumbent remains strongest where dense, well-contextualised tags already exist.</w:t>
            </w:r>
          </w:p>
        </w:tc>
      </w:tr>
    </w:tbl>
    <w:p>
      <w:pPr>
        <w:spacing w:before="40" w:after="120"/>
      </w:pPr>
    </w:p>
    <w:p>
      <w:pPr>
        <w:pStyle w:val="Heading1"/>
      </w:pPr>
      <w:r>
        <w:rPr>
          <w:b w:val="0"/>
          <w:i w:val="0"/>
        </w:rPr>
        <w:t>The Journey So Far</w:t>
      </w:r>
    </w:p>
    <w:p>
      <w:pPr>
        <w:spacing w:before="0" w:after="120"/>
      </w:pPr>
      <w:r>
        <w:rPr>
          <w:b w:val="0"/>
          <w:i w:val="0"/>
        </w:rPr>
        <w:t>Kav AI has been in development since May 2025. In less than a year, the platform has moved from a blank canvas to a live alpha with two major milestones fully delivered and a third in active shipment.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Milestone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Name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was delivered</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Platform Foundation</w:t>
            </w:r>
            <w:r>
              <w:rPr>
                <w:rFonts w:ascii="Arial" w:hAnsi="Arial"/>
                <w:b w:val="0"/>
                <w:i w:val="0"/>
                <w:color w:val="111111"/>
                <w:sz w:val="20"/>
              </w:rPr>
              <w:t xml:space="preserve"> — Jul 2025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viewer, authentication, image gallery, and operator dashboard — validated with a first real-world inspection dataset (RGB imagery)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Complete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AI Foundation</w:t>
            </w:r>
            <w:r>
              <w:rPr>
                <w:rFonts w:ascii="Arial" w:hAnsi="Arial"/>
                <w:b w:val="0"/>
                <w:i w:val="0"/>
                <w:color w:val="111111"/>
                <w:sz w:val="20"/>
              </w:rPr>
              <w:t xml:space="preserve"> — Dec 2025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Multimodal AI pipeline, natural language interface, automated task coordination, and a machine vision engine prototype — validated with thermal imagery and gas sensor readings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Complete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App MVP</w:t>
            </w:r>
            <w:r>
              <w:rPr>
                <w:rFonts w:ascii="Arial" w:hAnsi="Arial"/>
                <w:b w:val="0"/>
                <w:i w:val="0"/>
                <w:color w:val="111111"/>
                <w:sz w:val="20"/>
              </w:rPr>
              <w:t xml:space="preserve"> — Mar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Production-ready 3D viewer and AI chat unified in a single operator interface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Complete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AI Q2 Delivery</w:t>
            </w:r>
            <w:r>
              <w:rPr>
                <w:rFonts w:ascii="Arial" w:hAnsi="Arial"/>
                <w:b w:val="0"/>
                <w:i w:val="0"/>
                <w:color w:val="111111"/>
                <w:sz w:val="20"/>
              </w:rPr>
              <w:t xml:space="preserve"> — Jun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persona workspaces, failure recovery, and agent evaluation tests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 progress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v3.0/v3.1 foundation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Persistent sensing and engineering context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KRSI ingestion pattern, attachment module, CAD import pipeline, World Model Sync, and fixed-infrastructure design inputs validated in parallel workstreams — plus sensor-native analysis, actionable insights, chat with 3D map, interactive overlays, and automated reports rescheduled from Q2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 progress / integrated into v3.2 / v3.3 roadmap</w:t>
            </w:r>
          </w:p>
        </w:tc>
      </w:tr>
    </w:tbl>
    <w:p>
      <w:pPr>
        <w:spacing w:before="40" w:after="120"/>
      </w:pPr>
    </w:p>
    <w:p>
      <w:pPr>
        <w:pStyle w:val="Heading2"/>
      </w:pPr>
      <w:r>
        <w:rPr>
          <w:b w:val="0"/>
          <w:i w:val="0"/>
        </w:rPr>
        <w:t>What M0 and M1 proved</w:t>
      </w:r>
    </w:p>
    <w:p>
      <w:pPr>
        <w:spacing w:before="0" w:after="120"/>
      </w:pPr>
      <w:r>
        <w:rPr>
          <w:b w:val="0"/>
          <w:i w:val="0"/>
        </w:rPr>
        <w:t>The foundation milestones were validated against real inspection data — not synthetic benchmarks or demos. M0 was tested with a first inspection campaign producing RGB imagery from an industrial facility. M1 raised the bar: a second inspection campaign introduced thermal imagery alongside RGB, plus structured sensor readings — temperature, humidity, and ambient gas / atmospheric concentration. The AI pipeline was tested against this richer, multimodal dataset, reasoning across modalities on real industrial data.</w:t>
      </w:r>
    </w:p>
    <w:p>
      <w:pPr>
        <w:spacing w:before="0" w:after="120"/>
      </w:pPr>
      <w:r>
        <w:rPr>
          <w:b w:val="0"/>
          <w:i w:val="0"/>
        </w:rPr>
        <w:t>M1 also included a deliberate technical bet: a proof-of-concept machine vision engine, validating that defect detection models can be called on demand by the AI pipeline. The Q2 visual perception features build directly on that validated pattern.</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Third inspection campaign</w:t>
            </w:r>
          </w:p>
          <w:p>
            <w:pPr>
              <w:spacing w:before="0" w:after="0"/>
            </w:pPr>
            <w:r>
              <w:rPr>
                <w:rFonts w:ascii="Arial" w:hAnsi="Arial"/>
                <w:b w:val="0"/>
                <w:i w:val="0"/>
                <w:color w:val="222222"/>
                <w:sz w:val="20"/>
              </w:rPr>
              <w:t>A third inspection campaign is planned at an industrial reference site, with an expanded sensor suite including additional imagery modalities (e.g., calibrated thermal and gas-imaging where applicable), additional sensor measurements, and a path to repeat patrol comparison. This is the first real-world bridge between the campaign-based v2.9 workflow and the persistent robot-enabled v3.2 / v3.3 workflow.</w:t>
            </w:r>
          </w:p>
        </w:tc>
      </w:tr>
    </w:tbl>
    <w:p>
      <w:pPr>
        <w:spacing w:before="40" w:after="120"/>
      </w:pPr>
    </w:p>
    <w:p>
      <w:pPr>
        <w:pStyle w:val="Heading2"/>
      </w:pPr>
      <w:r>
        <w:rPr>
          <w:b w:val="0"/>
          <w:i w:val="0"/>
        </w:rPr>
        <w:t>MVP demonstration sequence</w:t>
      </w:r>
    </w:p>
    <w:p>
      <w:pPr>
        <w:spacing w:before="0" w:after="120"/>
      </w:pPr>
      <w:r>
        <w:rPr>
          <w:b w:val="0"/>
          <w:i w:val="0"/>
        </w:rPr>
        <w:t>In parallel with the platform milestones, Kav AI runs a public-facing MVP demonstration sequence that turns the engineering work above into outcomes a non-technical buyer can evaluate. v3.3 makes that mapping explicit: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MVP version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Theme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proves</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 milestone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Detection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Anomaly identification on a single inspection dataset — "we found something interesting"</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M0 — Platform Foundation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Repeatability + Scale + Decision Context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1,200 assets scanned, 37 thermal anomalies detected, 8 high-priority items, </w:t>
            </w:r>
            <w:r>
              <w:rPr>
                <w:rFonts w:ascii="Arial" w:hAnsi="Arial"/>
                <w:b/>
                <w:i w:val="0"/>
                <w:color w:val="111111"/>
                <w:sz w:val="20"/>
              </w:rPr>
              <w:t>65% unit coverage in one day</w:t>
            </w:r>
            <w:r>
              <w:rPr>
                <w:rFonts w:ascii="Arial" w:hAnsi="Arial"/>
                <w:b w:val="0"/>
                <w:i w:val="0"/>
                <w:color w:val="111111"/>
                <w:sz w:val="20"/>
              </w:rPr>
              <w:t>, with ranked inspection actions and a six- to seven-figure avoided-cost framing — "here are the 8 places you should inspect next, and why"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M1 / M2</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Conversational Access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in persona-tailored workspaces (Data Explorer &amp; Integrity Engineer), with validated agent reliability (evaluation tests and failure recovery)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M3 — AI Q2 Delivery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Closed-Loop Intelligence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Detection → validation → action → feedback measured end-to-end, with cross-source confirmation, robot patrol continuity, CAD-anchored asset identity, quantified inspection prioritization, and RBI / inspection-data-management workflow integration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 Q4 2026 platform extensions</w:t>
            </w:r>
          </w:p>
        </w:tc>
      </w:tr>
    </w:tbl>
    <w:p>
      <w:pPr>
        <w:spacing w:before="40" w:after="120"/>
      </w:pPr>
    </w:p>
    <w:p>
      <w:pPr>
        <w:spacing w:before="0" w:after="120"/>
      </w:pPr>
      <w:r>
        <w:rPr>
          <w:b w:val="0"/>
          <w:i w:val="0"/>
        </w:rPr>
        <w:t>The Scale &amp; Impact section reports the MVP v0.2 evidence in detail. The Operations and Integrity Analytical Chain sections describe the workflow that MVP v0.3 / v0.4 instrument.</w:t>
      </w:r>
    </w:p>
    <w:p>
      <w:pPr>
        <w:pStyle w:val="Heading1"/>
      </w:pPr>
      <w:r>
        <w:rPr>
          <w:b w:val="0"/>
          <w:i w:val="0"/>
        </w:rPr>
        <w:t>Where We Are Going — Q3 and Q4 2026</w:t>
      </w:r>
    </w:p>
    <w:p>
      <w:pPr>
        <w:spacing w:before="0" w:after="120"/>
      </w:pPr>
      <w:r>
        <w:rPr>
          <w:b w:val="0"/>
          <w:i w:val="0"/>
        </w:rPr>
        <w:t>With the core AI platform closing in Q2, Kav AI's second half of 2026 focuses on two distinct ambitions: deepening integration across the full industrial data environment in Q3, and advancing the research capabilities that will define the platform's long-term intelligence in Q4.</w:t>
      </w:r>
    </w:p>
    <w:p>
      <w:pPr>
        <w:pStyle w:val="Heading2"/>
      </w:pPr>
      <w:r>
        <w:rPr>
          <w:b w:val="0"/>
          <w:i w:val="0"/>
        </w:rPr>
        <w:t>Q3 2026 — Deepening the platform</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Capability</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 for operators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Anomaly detection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AI-powered detection across the expanded sensor suite from the third inspection campaign — including calibrated thermal and additional modalities applicable to the customer's industry — surfacing anomalies automatically in the 3D model with severity scoring.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Expanded sensor ingestion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Structured ingestion from additional imagery modalities, calibrated thermal, and expanded sensor measurements aligned with the planned third inspection campaign at an industrial reference site.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Time series signals &amp; control-system connectors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Read-only ingestion of time series data from DCS / SCADA systems, vibration sensors, and process historians via OPC UA (IEC 62541) — the industrial middleware standard that decouples Kav AI from any specific control-system vendor. Operational data feeds the operating-limit / failure-mechanism closed-loop analytical chain described in the Integrity Analytical Chain section.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Geo-tagged assets &amp; images in 3D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Every asset anchored to its precise location in the 3D model. Inspection imagery displayed directly in 3D space.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Contextual data chat — Phase 1</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Compound queries across multiple data sources, human-in-the-loop confirmation for high-consequence actions, and a skills registry that learns facility-specific query patterns over time.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CAD (IFC4) &amp; P&amp;ID (DEXPI) open-standard ingestion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Open, vendor-neutral ingestion of CAD geometry (IFC4 BIM STEP) and logical P&amp;IDs (DEXPI), with deterministic dual-tagging linking legacy CAD tags to operator tags and the asset record. Demonstrated at 100% coverage on one example process unit. Full P&amp;ID database (SQL) connector and CAD overlay remain Q4.</w:t>
            </w:r>
          </w:p>
        </w:tc>
      </w:tr>
    </w:tbl>
    <w:p>
      <w:pPr>
        <w:spacing w:before="40" w:after="120"/>
      </w:pPr>
    </w:p>
    <w:p>
      <w:pPr>
        <w:pStyle w:val="Heading2"/>
      </w:pPr>
      <w:r>
        <w:rPr>
          <w:b w:val="0"/>
          <w:i w:val="0"/>
        </w:rPr>
        <w:t>Q4 2026 — Completing the platform and advancing the intelligence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Engineering capability</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 for operators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3D CAD model overlay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 design models overlaid on the photorealistic 3D facility model — operators can compare the as-built facility against the engineering design to identify deviations. v3.2 extends this into version tracking and as-built vs as-designed comparison.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P&amp;ID SQL connector</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read access to the plant's piping and instrumentation database — the 3D model reflects engineering documentation without requiring parallel data entry.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Security certification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Enterprise security certification — SOC 2 Type II target, meeting the data governance requirements of major industrial operators and enabling procurement through enterprise security review processes.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Compliance management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End-to-end compliance workflows — tracking inspection coverage, flagged anomalies, and corrective actions taken into audit-ready records for regulatory submissions.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On-premise &amp; air-gapped deployment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Container-based deployment package for operator-managed cloud tenants (Azure, AWS) or fully air-gapped on-premise environments. See the Deployment Architecture section for full details.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Full spatial navigation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walkthrough, asset search in images, manual data entry, and view from any angle including confined spaces. The same spatial layer now supports repeatable robot patrol localization via fixed infrastructure.</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Research-dependent capability (Q4*)</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Research question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Physical AI reasoning &amp; remediation advice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Grounding LLM-generated remediation advice in the engineering domain model of the specific facility at safety-critical reliability thresholds. Requires Q2 spike to confirm feasibility before engineering commitment.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Facility-specific model training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Synthetic training data calibrated to the specific visual and thermal signatures of each facility. Research question: whether synthetic imagery (e.g., thermal, gas-imaging where applicable) can improve rather than degrade detection performance.</w:t>
            </w:r>
          </w:p>
        </w:tc>
      </w:tr>
    </w:tbl>
    <w:p>
      <w:pPr>
        <w:spacing w:before="40" w:after="120"/>
      </w:pPr>
    </w:p>
    <w:p>
      <w:pPr>
        <w:spacing w:before="40" w:after="160"/>
        <w:jc w:val="left"/>
      </w:pPr>
      <w:r>
        <w:rPr>
          <w:i/>
          <w:color w:val="666666"/>
          <w:sz w:val="19"/>
        </w:rPr>
        <w:t>Q4* items are research-dependent, contingent on Q2 spike outcomes. Their deferral to 2027 does not affect the engineering workstream above.</w:t>
      </w:r>
    </w:p>
    <w:p>
      <w:pPr>
        <w:pStyle w:val="Heading2"/>
      </w:pPr>
      <w:r>
        <w:rPr>
          <w:b w:val="0"/>
          <w:i w:val="0"/>
        </w:rPr>
        <w:t>AI Engine and Machine Vision</w:t>
      </w:r>
    </w:p>
    <w:p>
      <w:pPr>
        <w:spacing w:before="0" w:after="120"/>
      </w:pPr>
      <w:r>
        <w:rPr>
          <w:b w:val="0"/>
          <w:i w:val="0"/>
        </w:rPr>
        <w:t>Kav AI's AI engine coordinates specialized defect detection models — each trained for a specific modality (RGB, thermal, and other imagery types as applicable to the customer's industry) — and calls them on demand as part of the analytical pipeline. From v3.2 onward, that orchestration layer also becomes the convergence point for robot patrol findings, CAD-linked asset identity, and cross-source confirmation. v3.3 brings the cross-source confirmation engine to the front of the user-facing narrative: independent sources are the unit of confidence, and the engine is what converts a noisy single-modality signal into a multi-source confirmed finding.</w:t>
      </w:r>
    </w:p>
    <w:p>
      <w:pPr>
        <w:spacing w:before="0" w:after="60"/>
        <w:ind w:left="504" w:hanging="288"/>
      </w:pPr>
      <w:r>
        <w:rPr>
          <w:b w:val="0"/>
        </w:rPr>
        <w:t xml:space="preserve">•  </w:t>
      </w:r>
      <w:r>
        <w:rPr>
          <w:b/>
          <w:i w:val="0"/>
        </w:rPr>
        <w:t>Model Versioning &amp; Rollback</w:t>
      </w:r>
      <w:r>
        <w:rPr>
          <w:b w:val="0"/>
          <w:i w:val="0"/>
        </w:rPr>
        <w:t>: Each detection model is tagged with a version ID. The platform can switch model versions or roll back to a proven baseline if performance degrades on specific asset types.</w:t>
      </w:r>
    </w:p>
    <w:p>
      <w:pPr>
        <w:spacing w:before="0" w:after="60"/>
        <w:ind w:left="504" w:hanging="288"/>
      </w:pPr>
      <w:r>
        <w:rPr>
          <w:b w:val="0"/>
        </w:rPr>
        <w:t xml:space="preserve">•  </w:t>
      </w:r>
      <w:r>
        <w:rPr>
          <w:b/>
          <w:i w:val="0"/>
        </w:rPr>
        <w:t>Detection Speed</w:t>
      </w:r>
      <w:r>
        <w:rPr>
          <w:b w:val="0"/>
          <w:i w:val="0"/>
        </w:rPr>
        <w:t>: Production GPU hardware targets ensure sub-second detection for RGB / thermal imagery, with queuing for high-resolution drone-campaign or specialty-imagery datasets.</w:t>
      </w:r>
    </w:p>
    <w:p>
      <w:pPr>
        <w:spacing w:before="160" w:after="80"/>
        <w:jc w:val="center"/>
      </w:pPr>
      <w:r>
        <w:drawing>
          <wp:inline>
            <wp:extent cx="5760720" cy="4005755"/>
            <wp:docPr id="4" name="Picture 4"/>
            <wp:cNvGraphicFramePr>
              <a:graphicFrameLocks noChangeAspect="1"/>
            </wp:cNvGraphicFramePr>
            <a:graphic>
              <a:graphicData uri="http://schemas.openxmlformats.org/drawingml/2006/picture">
                <pic:pic>
                  <pic:nvPicPr>
                    <pic:cNvPr id="0" name="mermaid_fig3.png"/>
                    <pic:cNvPicPr/>
                  </pic:nvPicPr>
                  <pic:blipFill>
                    <a:blip r:embed="rId14"/>
                    <a:stretch>
                      <a:fillRect/>
                    </a:stretch>
                  </pic:blipFill>
                  <pic:spPr>
                    <a:xfrm>
                      <a:off x="0" y="0"/>
                      <a:ext cx="5760720" cy="4005755"/>
                    </a:xfrm>
                    <a:prstGeom prst="rect"/>
                  </pic:spPr>
                </pic:pic>
              </a:graphicData>
            </a:graphic>
          </wp:inline>
        </w:drawing>
      </w:r>
    </w:p>
    <w:p>
      <w:pPr>
        <w:spacing w:before="40" w:after="160"/>
        <w:jc w:val="left"/>
      </w:pPr>
      <w:r>
        <w:rPr>
          <w:i/>
          <w:color w:val="666666"/>
          <w:sz w:val="19"/>
        </w:rPr>
        <w:t>Figure 3.  AI Analytical Pipeline.  Kav AI's engine coordinates specialized machine vision models, calling each as needed for modular defect detection and rapid model iteration. From v3.2 onwards the same orchestration pattern supports campaign data, patrol data, and engineering context as a unified reasoning layer; v3.3 surfaces the cross-source correlation engine as the explicit confidence-reweighting step that downstream stages depend on.</w:t>
      </w:r>
    </w:p>
    <w:p>
      <w:pPr>
        <w:pStyle w:val="Heading1"/>
      </w:pPr>
      <w:r>
        <w:rPr>
          <w:b w:val="0"/>
          <w:i w:val="0"/>
        </w:rPr>
        <w:t>Expanded Capture &amp; Engineering Context</w:t>
      </w:r>
    </w:p>
    <w:p>
      <w:pPr>
        <w:spacing w:before="0" w:after="120"/>
      </w:pPr>
      <w:r>
        <w:rPr>
          <w:b w:val="0"/>
          <w:i w:val="0"/>
        </w:rPr>
        <w:t xml:space="preserve">v3.2 kept the v2.9 product framing intact and extended the platform in the two areas that most materially strengthen the integrity loop: </w:t>
      </w:r>
      <w:r>
        <w:rPr>
          <w:b/>
          <w:i w:val="0"/>
        </w:rPr>
        <w:t>autonomous robot coverage</w:t>
      </w:r>
      <w:r>
        <w:rPr>
          <w:b w:val="0"/>
          <w:i w:val="0"/>
        </w:rPr>
        <w:t xml:space="preserve"> and </w:t>
      </w:r>
      <w:r>
        <w:rPr>
          <w:b/>
          <w:i w:val="0"/>
        </w:rPr>
        <w:t>CAD / engineering context</w:t>
      </w:r>
      <w:r>
        <w:rPr>
          <w:b w:val="0"/>
          <w:i w:val="0"/>
        </w:rPr>
        <w:t xml:space="preserve">. v3.3 keeps that scope and adds two structural clarifications that have become important in external conversations: the </w:t>
      </w:r>
      <w:r>
        <w:rPr>
          <w:b/>
          <w:i w:val="0"/>
        </w:rPr>
        <w:t>architectural shift from onboard SLAM to fixed plant infrastructure</w:t>
      </w:r>
      <w:r>
        <w:rPr>
          <w:b w:val="0"/>
          <w:i w:val="0"/>
        </w:rPr>
        <w:t xml:space="preserve">, and the </w:t>
      </w:r>
      <w:r>
        <w:rPr>
          <w:b/>
          <w:i w:val="0"/>
        </w:rPr>
        <w:t>cross-source correlation engine</w:t>
      </w:r>
      <w:r>
        <w:rPr>
          <w:b w:val="0"/>
          <w:i w:val="0"/>
        </w:rPr>
        <w:t xml:space="preserve"> as the explicit step that turns single-source detections into multi-source confirmed findings.</w:t>
      </w:r>
    </w:p>
    <w:p>
      <w:pPr>
        <w:spacing w:before="0" w:after="120"/>
      </w:pPr>
      <w:r>
        <w:rPr>
          <w:b w:val="0"/>
          <w:i w:val="0"/>
        </w:rPr>
        <w:t>These additions do not change what Kav AI is. They increase how often the platform sees the plant, how precisely it localizes findings, and how reliably it ties those findings back to asset identity and engineering intent.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600"/>
        <w:gridCol w:w="7760"/>
      </w:tblGrid>
      <w:tr>
        <w:tc>
          <w:tcPr>
            <w:tcW w:w="1600" w:type="dxa"/>
            <w:tcBorders>
              <w:top w:val="single" w:sz="1" w:space="0" w:color="0D7680"/>
              <w:left w:val="single" w:sz="1" w:space="0" w:color="0D7680"/>
              <w:bottom w:val="single" w:sz="1" w:space="0" w:color="0D7680"/>
              <w:right w:val="single" w:sz="1" w:space="0" w:color="0D7680"/>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Design principle</w:t>
            </w:r>
          </w:p>
        </w:tc>
        <w:tc>
          <w:tcPr>
            <w:tcW w:w="7760" w:type="dxa"/>
            <w:tcBorders>
              <w:top w:val="single" w:sz="1" w:space="0" w:color="0D7680"/>
              <w:left w:val="single" w:sz="1" w:space="0" w:color="0D7680"/>
              <w:bottom w:val="single" w:sz="1" w:space="0" w:color="0D7680"/>
              <w:right w:val="single" w:sz="1" w:space="0" w:color="0D7680"/>
            </w:tcBorders>
            <w:shd w:val="clear" w:color="auto" w:fill="D6E8F5"/>
            <w:tcMar>
              <w:top w:w="100" w:type="dxa"/>
              <w:bottom w:w="100" w:type="dxa"/>
              <w:left w:w="140" w:type="dxa"/>
              <w:right w:w="140" w:type="dxa"/>
            </w:tcMar>
            <w:vAlign w:val="center"/>
          </w:tcPr>
          <w:p>
            <w:pPr>
              <w:spacing w:before="0" w:after="0"/>
            </w:pPr>
            <w:r/>
            <w:r>
              <w:rPr>
                <w:rFonts w:ascii="Arial" w:hAnsi="Arial"/>
                <w:b w:val="0"/>
                <w:i w:val="0"/>
                <w:color w:val="111111"/>
                <w:sz w:val="20"/>
              </w:rPr>
              <w:t>Kav AI still follows the same boundary defined in v2.9: observe, reason, and recommend. It does not dispatch robots as a fleet manager and it does not become the system of record for engineering design. It consumes those layers to strengthen integrity intelligence.</w:t>
            </w:r>
          </w:p>
        </w:tc>
      </w:tr>
    </w:tbl>
    <w:p>
      <w:pPr>
        <w:spacing w:before="40" w:after="120"/>
      </w:pPr>
    </w:p>
    <w:p>
      <w:pPr>
        <w:pStyle w:val="Heading2"/>
      </w:pPr>
      <w:r>
        <w:rPr>
          <w:b w:val="0"/>
          <w:i w:val="0"/>
        </w:rPr>
        <w:t>Autonomous robot coverage</w:t>
      </w:r>
    </w:p>
    <w:p>
      <w:pPr>
        <w:spacing w:before="0" w:after="120"/>
      </w:pPr>
      <w:r>
        <w:rPr>
          <w:b w:val="0"/>
          <w:i w:val="0"/>
        </w:rPr>
        <w:t>Autonomous robots extend Kav AI from campaign-based inspection to persistent facility awareness. The platform preserves the v2.9 hardware-agnostic position: robot data is an input layer, not a product-category shift.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v3.2 addition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Why it matters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KRSI adapter extension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Supports standard 90-minute platforms and high-endurance 4–6 hour platforms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Broadens coverage from congested indoor units to large outdoor areas (tank farms, mill yards, kiln lines, conveyor corridors) and long linear routes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Fixed plant 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Navigation beacons, communication backbone, docking integration, and coverage orchestration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Improves localization repeatability and enables continuous patrol coverage without per-robot navigation lock-in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Fleet intelligence analytics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Coverage analytics, anomaly trend detection, and data-quality trend monitoring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Turns repeated patrol history into a learning signal rather than isolated mission logs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Hazard-aware operations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Optional package for environments with elevated safety hazards (radiation, heat, dust, gas, confined space) — including dosimetry and exposure-zone handling where applicable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Expands the platform to environments where human-entry avoidance is itself a core value driver</w:t>
            </w:r>
          </w:p>
        </w:tc>
      </w:tr>
    </w:tbl>
    <w:p>
      <w:pPr>
        <w:spacing w:before="40" w:after="120"/>
      </w:pPr>
    </w:p>
    <w:p>
      <w:pPr>
        <w:pStyle w:val="Heading3"/>
      </w:pPr>
      <w:r>
        <w:rPr>
          <w:b w:val="0"/>
          <w:i w:val="0"/>
        </w:rPr>
        <w:t>Fixed infrastructure</w:t>
      </w:r>
    </w:p>
    <w:p>
      <w:pPr>
        <w:spacing w:before="0" w:after="120"/>
      </w:pPr>
      <w:r>
        <w:rPr>
          <w:b w:val="0"/>
          <w:i w:val="0"/>
        </w:rPr>
        <w:t>Fixed plant infrastructure is the enabling layer for reliable, repeatable patrol coverage: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Component</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Specification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Navigation beacons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UWB or LiDAR reflector-based reference points, targeting localization accuracy within 10cm of onboard baseline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Communication backbone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Private 5G, industrial Wi-Fi mesh, or hybrid; minimum 50 Mbps uplink per patrol zone; 5–15 ms latency for real-time remote viewing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Docking stations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Charging plus wired data offload points at patrol-route endpoints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Coverage orchestration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Ranked inspection priorities from Kav AI to the vendor fleet software through API or operator handoff</w:t>
            </w:r>
          </w:p>
        </w:tc>
      </w:tr>
    </w:tbl>
    <w:p>
      <w:pPr>
        <w:spacing w:before="40" w:after="120"/>
      </w:pPr>
    </w:p>
    <w:p>
      <w:pPr>
        <w:spacing w:before="0" w:after="120"/>
      </w:pPr>
      <w:r>
        <w:rPr>
          <w:b w:val="0"/>
          <w:i w:val="0"/>
        </w:rPr>
        <w:t>This architecture deliberately avoids turning Kav AI into a robot OEM stack. Kav AI specifies what needs to be seen next based on staleness and risk. Vendor fleet software or the operator still decides how to execute the patrol.</w:t>
      </w:r>
    </w:p>
    <w:p>
      <w:pPr>
        <w:spacing w:before="0" w:after="120"/>
      </w:pPr>
      <w:r>
        <w:rPr>
          <w:b w:val="0"/>
          <w:i w:val="0"/>
        </w:rPr>
        <w:t xml:space="preserve">The combined effect is </w:t>
      </w:r>
      <w:r>
        <w:rPr>
          <w:b/>
          <w:i w:val="0"/>
        </w:rPr>
        <w:t>continuous coverage of ≥ 20 hours per day</w:t>
      </w:r>
      <w:r>
        <w:rPr>
          <w:b w:val="0"/>
          <w:i w:val="0"/>
        </w:rPr>
        <w:t xml:space="preserve"> across the fleet at a fully equipped site — turning the historical "battery-bound 90-minute patrol" model into a continuous sensory web without paying the cost of a bespoke OEM stack.</w:t>
      </w:r>
    </w:p>
    <w:p>
      <w:pPr>
        <w:pStyle w:val="Heading3"/>
      </w:pPr>
      <w:r>
        <w:rPr>
          <w:b w:val="0"/>
          <w:i w:val="0"/>
        </w:rPr>
        <w:t>Architectural shift: onboard SLAM vs. fixed infrastructure</w:t>
      </w:r>
    </w:p>
    <w:p>
      <w:pPr>
        <w:spacing w:before="0" w:after="120"/>
      </w:pPr>
      <w:r>
        <w:rPr>
          <w:b w:val="0"/>
          <w:i w:val="0"/>
        </w:rPr>
        <w:t>Fixed plant infrastructure is not just an availability story — it is a different navigation and data-registration architecture. The promo-deck shift is captured below for procurement teams comparing Kav AI against onboard-SLAM-only competitors: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Dimension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Onboard SLAM (single-vendor stack)</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Fixed plant infrastructure (Kav AI)</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Navigation reliability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Degrades in featureless or highly repetitive industrial environments (e.g., long piperacks, similar bays in a mill, large open shop floors)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UWB / LiDAR reflectors provide absolute ground-truth coordinates regardless of environment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Fleet scaling cost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 — each robot carries its own expensive redundant navigation stack</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Low — beacon and 5G cost amortized across the site, additional commodity robots add marginal cost only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registration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5 cm error with cumulative drift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2 cm beacon-anchored accuracy, no drift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Vendor lock-in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Effectively single-vendor — the locomotion vendor owns the localization primitive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Hardware-agnostic — any fleet that emits compatible telemetry can be ingested via KRSI</w:t>
            </w:r>
          </w:p>
        </w:tc>
      </w:tr>
    </w:tbl>
    <w:p>
      <w:pPr>
        <w:spacing w:before="40" w:after="120"/>
      </w:pPr>
    </w:p>
    <w:p>
      <w:pPr>
        <w:spacing w:before="0" w:after="120"/>
      </w:pPr>
      <w:r>
        <w:rPr>
          <w:b w:val="0"/>
          <w:i w:val="0"/>
        </w:rPr>
        <w:t xml:space="preserve">Fixed infrastructure is the architectural reason Kav AI can credibly claim </w:t>
      </w:r>
      <w:r>
        <w:rPr>
          <w:b w:val="0"/>
          <w:i/>
        </w:rPr>
        <w:t>fleet-agnostic, mission-specific</w:t>
      </w:r>
      <w:r>
        <w:rPr>
          <w:b w:val="0"/>
          <w:i w:val="0"/>
        </w:rPr>
        <w:t xml:space="preserve"> coverage instead of taking on the cost of a proprietary robot OEM stack.</w:t>
      </w:r>
    </w:p>
    <w:p>
      <w:pPr>
        <w:pStyle w:val="Heading3"/>
      </w:pPr>
      <w:r>
        <w:rPr>
          <w:b w:val="0"/>
          <w:i w:val="0"/>
        </w:rPr>
        <w:t>Robot sensing and mission intelligence</w:t>
      </w:r>
    </w:p>
    <w:p>
      <w:pPr>
        <w:spacing w:before="0" w:after="120"/>
      </w:pPr>
      <w:r>
        <w:rPr>
          <w:b w:val="0"/>
          <w:i w:val="0"/>
        </w:rPr>
        <w:t>Robot ingestion in v3.2 extends the proven v3.0 adapter pattern:</w:t>
      </w:r>
    </w:p>
    <w:p>
      <w:pPr>
        <w:spacing w:before="0" w:after="60"/>
        <w:ind w:left="504" w:hanging="288"/>
      </w:pPr>
      <w:r>
        <w:rPr>
          <w:b w:val="0"/>
        </w:rPr>
        <w:t xml:space="preserve">•  </w:t>
      </w:r>
      <w:r>
        <w:rPr>
          <w:b w:val="0"/>
          <w:i w:val="0"/>
        </w:rPr>
        <w:t>Extended telemetry sessions for 4–6 hour patrols, including timeout handling, buffering, and reconnection.</w:t>
      </w:r>
    </w:p>
    <w:p>
      <w:pPr>
        <w:spacing w:before="0" w:after="60"/>
        <w:ind w:left="504" w:hanging="288"/>
      </w:pPr>
      <w:r>
        <w:rPr>
          <w:b w:val="0"/>
        </w:rPr>
        <w:t xml:space="preserve">•  </w:t>
      </w:r>
      <w:r>
        <w:rPr>
          <w:b w:val="0"/>
          <w:i w:val="0"/>
        </w:rPr>
        <w:t>Payload registration for thermal and visual sensing as baseline, with acoustic, gas, and other industry-specific payloads validated per platform.</w:t>
      </w:r>
    </w:p>
    <w:p>
      <w:pPr>
        <w:spacing w:before="0" w:after="60"/>
        <w:ind w:left="504" w:hanging="288"/>
      </w:pPr>
      <w:r>
        <w:rPr>
          <w:b w:val="0"/>
        </w:rPr>
        <w:t xml:space="preserve">•  </w:t>
      </w:r>
      <w:r>
        <w:rPr>
          <w:b w:val="0"/>
          <w:i w:val="0"/>
        </w:rPr>
        <w:t>Mission-history analytics that detect progressive degradation, patrol gaps, calibration drift, and persistent connectivity failures.</w:t>
      </w:r>
    </w:p>
    <w:p>
      <w:pPr>
        <w:spacing w:before="0" w:after="120"/>
      </w:pPr>
      <w:r>
        <w:rPr>
          <w:b w:val="0"/>
          <w:i w:val="0"/>
        </w:rPr>
        <w:t>The consequence is strategic, not merely technical: the data flywheel now compounds not only across periodic drone campaigns, but also across recurring ground patrols that revisit the same assets with tighter spatial repeatability.</w:t>
      </w:r>
    </w:p>
    <w:p>
      <w:pPr>
        <w:pStyle w:val="Heading2"/>
      </w:pPr>
      <w:r>
        <w:rPr>
          <w:b w:val="0"/>
          <w:i w:val="0"/>
        </w:rPr>
        <w:t>CAD and engineering data</w:t>
      </w:r>
    </w:p>
    <w:p>
      <w:pPr>
        <w:spacing w:before="0" w:after="120"/>
      </w:pPr>
      <w:r>
        <w:rPr>
          <w:b w:val="0"/>
          <w:i w:val="0"/>
        </w:rPr>
        <w:t>v3.2 also carries forward the v3.1 expansion of the engineering context layer. v2.9 introduced CAD overlay as a roadmap item; v3.2 makes it a central extension to the integrity workflow rather than a standalone visual feature. The engineering-context layer is built on open, vendor-neutral standards — IFC4 (BIM STEP) for physical 3D geometry and DEXPI (XML) for logical P&amp;IDs — rather than proprietary exports.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v3.2 addition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Why it matters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Additional CAD formats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IFC4 (BIM STEP), RVT, and direct DGN alongside the proven Navisworks pathway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Reduces dependence on a single engineering-tool chain and improves fit across customer environments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CAD version tracking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Import history, file hashing, and diff visualization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Makes engineering changes visible to integrity teams instead of remaining buried in document control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As-built vs. as-designed comparison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CAD overlay aligned to the photorealistic 3D model and LiDAR-derived geometry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Highlights geometric deviation that may create new integrity risk or invalidate inspection assumptions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P&amp;ID linkage (DEXPI)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Logical P&amp;IDs ingested via the open DEXPI standard; deterministic dual-tagging ties legacy CAD tags to operator/DEXPI tags and the asset record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Improves traceability for operator queries and work-order preparation; a clicked 3D element resolves to its P&amp;ID and integrity findings</w:t>
            </w:r>
          </w:p>
        </w:tc>
      </w:tr>
    </w:tbl>
    <w:p>
      <w:pPr>
        <w:spacing w:before="40" w:after="120"/>
      </w:pPr>
    </w:p>
    <w:p>
      <w:pPr>
        <w:pStyle w:val="Heading3"/>
      </w:pPr>
      <w:r>
        <w:rPr>
          <w:b w:val="0"/>
          <w:i w:val="0"/>
        </w:rPr>
        <w:t>Per-format scope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Format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Priority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v3.2 scope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IFC4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High</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Open-standard (BIM STEP) extraction of geometry plus engineering metadata into the KAP schema — demonstrated at 100% coverage on one example process unit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RVT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Revit extraction where metadata is sufficient or can be supplemented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DGN (direct)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extraction for Bentley / PDS-heavy sites to avoid the Navisworks intermediary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STEP / IGES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Low</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Candidate for later vendor-model ingestion where full-plant context is limited</w:t>
            </w:r>
          </w:p>
        </w:tc>
      </w:tr>
    </w:tbl>
    <w:p>
      <w:pPr>
        <w:spacing w:before="40" w:after="120"/>
      </w:pPr>
    </w:p>
    <w:p>
      <w:pPr>
        <w:pStyle w:val="Heading3"/>
      </w:pPr>
      <w:r>
        <w:rPr>
          <w:b w:val="0"/>
          <w:i w:val="0"/>
        </w:rPr>
        <w:t>Logical P&amp;IDs via DEXPI and tag interoperability</w:t>
      </w:r>
    </w:p>
    <w:p>
      <w:pPr>
        <w:spacing w:before="0" w:after="120"/>
      </w:pPr>
      <w:r>
        <w:rPr>
          <w:b w:val="0"/>
          <w:i w:val="0"/>
        </w:rPr>
        <w:t>Physical geometry (IFC4) is paired with logical process structure through DEXPI (XML), the open P&amp;ID exchange standard, which carries equipment, nozzles, piping runs, and connectivity. A deterministic dual-tagging layer reconciles legacy CAD tag conventions with standard operator / DEXPI tags and resolves both to the same asset record — so a 3D element, its P&amp;ID, and its integrity findings line up automatically. The mapping is rule-based and auditable rather than inferred. In steel and metals plants this logical layer is broadly applicable: P&amp;ID-documented systems span blast-furnace gas cleaning, pulverized-coal injection and DRI reducing-gas trains, BOF/EAF oxygen / argon / nitrogen valve trains, mould- and panel-cooling water circuits, mill hydraulic (Automatic Gauge Control) and high-pressure descaling systems, and water-treatment and acid-regeneration plant — a large share of a mill's integrity-critical equipment, complementing the mechanical and refractory assets carried by IFC4 geometry.</w:t>
      </w:r>
    </w:p>
    <w:p>
      <w:pPr>
        <w:spacing w:before="0" w:after="120"/>
      </w:pPr>
      <w:r>
        <w:rPr>
          <w:b w:val="0"/>
          <w:i w:val="0"/>
        </w:rPr>
        <w:t>On one example process unit — a 109-asset reference dataset — the IFC4 and DEXPI schemas were both ingested at 100% coverage, confirming traceability from the 3D model through the P&amp;ID to the asset record for that deployment. The figure is a single illustrative example, not a generalized benchmark.</w:t>
      </w:r>
    </w:p>
    <w:p>
      <w:pPr>
        <w:pStyle w:val="Heading3"/>
      </w:pPr>
      <w:r>
        <w:rPr>
          <w:b w:val="0"/>
          <w:i w:val="0"/>
        </w:rPr>
        <w:t>World model and change management</w:t>
      </w:r>
    </w:p>
    <w:p>
      <w:pPr>
        <w:spacing w:before="0" w:after="120"/>
      </w:pPr>
      <w:r>
        <w:rPr>
          <w:b w:val="0"/>
          <w:i w:val="0"/>
        </w:rPr>
        <w:t>CAD only becomes operationally useful when tied to the live spatial record. v3.2 therefore combines:</w:t>
      </w:r>
    </w:p>
    <w:p>
      <w:pPr>
        <w:spacing w:before="0" w:after="60"/>
        <w:ind w:left="504" w:hanging="288"/>
      </w:pPr>
      <w:r>
        <w:rPr>
          <w:b w:val="0"/>
        </w:rPr>
        <w:t xml:space="preserve">1.  </w:t>
      </w:r>
      <w:r>
        <w:rPr>
          <w:b/>
          <w:i w:val="0"/>
        </w:rPr>
        <w:t>CAD-derived design intent</w:t>
      </w:r>
      <w:r>
        <w:rPr>
          <w:b w:val="0"/>
          <w:i w:val="0"/>
        </w:rPr>
        <w:t xml:space="preserve"> from the engineering model.</w:t>
      </w:r>
    </w:p>
    <w:p>
      <w:pPr>
        <w:spacing w:before="0" w:after="60"/>
        <w:ind w:left="504" w:hanging="288"/>
      </w:pPr>
      <w:r>
        <w:rPr>
          <w:b w:val="0"/>
        </w:rPr>
        <w:t xml:space="preserve">2.  </w:t>
      </w:r>
      <w:r>
        <w:rPr>
          <w:b/>
          <w:i w:val="0"/>
        </w:rPr>
        <w:t>As-built geometry</w:t>
      </w:r>
      <w:r>
        <w:rPr>
          <w:b w:val="0"/>
          <w:i w:val="0"/>
        </w:rPr>
        <w:t xml:space="preserve"> from 3DGS and LiDAR-derived scans.</w:t>
      </w:r>
    </w:p>
    <w:p>
      <w:pPr>
        <w:spacing w:before="0" w:after="60"/>
        <w:ind w:left="504" w:hanging="288"/>
      </w:pPr>
      <w:r>
        <w:rPr>
          <w:b w:val="0"/>
        </w:rPr>
        <w:t xml:space="preserve">3.  </w:t>
      </w:r>
      <w:r>
        <w:rPr>
          <w:b/>
          <w:i w:val="0"/>
        </w:rPr>
        <w:t>Inspection findings</w:t>
      </w:r>
      <w:r>
        <w:rPr>
          <w:b w:val="0"/>
          <w:i w:val="0"/>
        </w:rPr>
        <w:t xml:space="preserve"> from drone, robot, and fixed/SCADA sources.</w:t>
      </w:r>
    </w:p>
    <w:p>
      <w:pPr>
        <w:spacing w:before="0" w:after="120"/>
      </w:pPr>
      <w:r>
        <w:rPr>
          <w:b w:val="0"/>
          <w:i w:val="0"/>
        </w:rPr>
        <w:t>This allows the platform to surface engineering changes, geometric deviations, and repeated anomaly patterns as part of the same integrity conversation rather than as separate systems.</w:t>
      </w:r>
    </w:p>
    <w:p>
      <w:pPr>
        <w:pStyle w:val="Heading2"/>
      </w:pPr>
      <w:r>
        <w:rPr>
          <w:b w:val="0"/>
          <w:i w:val="0"/>
        </w:rPr>
        <w:t>Cross-source confirmation engine</w:t>
      </w:r>
    </w:p>
    <w:p>
      <w:pPr>
        <w:spacing w:before="0" w:after="120"/>
      </w:pPr>
      <w:r>
        <w:rPr>
          <w:b w:val="0"/>
          <w:i w:val="0"/>
        </w:rPr>
        <w:t>The robot and CAD additions are most valuable when they strengthen the core analytical chain rather than sitting beside it. v3.2 incorporated the v3.1 cross-source correlation model into the v2.9 integrity narrative; v3.3 promotes that primitive to a named engine: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Sources agreeing</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Correlation category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Operational treatment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 source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Single-source detection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severity-based triage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2 sources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Corroborated finding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Elevated priority with explicit evidence linking</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 sources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Multi-source confirmed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Highest-confidence class for immediate engineer attention; bypasses the manual verification queue but never bypasses the deterministic Filter Skill rejection (see AI Safety)</w:t>
            </w:r>
          </w:p>
        </w:tc>
      </w:tr>
    </w:tbl>
    <w:p>
      <w:pPr>
        <w:spacing w:before="40" w:after="120"/>
      </w:pPr>
    </w:p>
    <w:p>
      <w:pPr>
        <w:pStyle w:val="Heading3"/>
      </w:pPr>
      <w:r>
        <w:rPr>
          <w:b w:val="0"/>
          <w:i w:val="0"/>
        </w:rPr>
        <w:t>How the engine works</w:t>
      </w:r>
    </w:p>
    <w:p>
      <w:pPr>
        <w:spacing w:before="0" w:after="120"/>
      </w:pPr>
      <w:r>
        <w:rPr>
          <w:b w:val="0"/>
          <w:i w:val="0"/>
        </w:rPr>
        <w:t>The cross-source correlation engine operates as a deterministic pre-stage to the AI confidence model:</w:t>
      </w:r>
    </w:p>
    <w:p>
      <w:pPr>
        <w:spacing w:before="0" w:after="60"/>
        <w:ind w:left="504" w:hanging="288"/>
      </w:pPr>
      <w:r>
        <w:rPr>
          <w:b w:val="0"/>
        </w:rPr>
        <w:t xml:space="preserve">1.  </w:t>
      </w:r>
      <w:r>
        <w:rPr>
          <w:b/>
          <w:i w:val="0"/>
        </w:rPr>
        <w:t>Tag</w:t>
      </w:r>
      <w:r>
        <w:rPr>
          <w:b w:val="0"/>
          <w:i w:val="0"/>
        </w:rPr>
        <w:t xml:space="preserve"> — every detection from a drone campaign, robot patrol, fixed sensor, or operating-limit exceedance from the historian / control system is timestamped, geo-located inside the 3D model, and tagged with its modality (RGB, thermal, acoustic, gas, vibration, process telemetry, etc.).</w:t>
      </w:r>
    </w:p>
    <w:p>
      <w:pPr>
        <w:spacing w:before="0" w:after="60"/>
        <w:ind w:left="504" w:hanging="288"/>
      </w:pPr>
      <w:r>
        <w:rPr>
          <w:b w:val="0"/>
        </w:rPr>
        <w:t xml:space="preserve">2.  </w:t>
      </w:r>
      <w:r>
        <w:rPr>
          <w:b/>
          <w:i w:val="0"/>
        </w:rPr>
        <w:t>Match</w:t>
      </w:r>
      <w:r>
        <w:rPr>
          <w:b w:val="0"/>
          <w:i w:val="0"/>
        </w:rPr>
        <w:t xml:space="preserve"> — independent detections within a </w:t>
      </w:r>
      <w:r>
        <w:rPr>
          <w:b/>
          <w:i w:val="0"/>
        </w:rPr>
        <w:t>2 m spatial radius</w:t>
      </w:r>
      <w:r>
        <w:rPr>
          <w:b w:val="0"/>
          <w:i w:val="0"/>
        </w:rPr>
        <w:t xml:space="preserve"> and an aligned temporal window are grouped as candidate corroborations.</w:t>
      </w:r>
    </w:p>
    <w:p>
      <w:pPr>
        <w:spacing w:before="0" w:after="60"/>
        <w:ind w:left="504" w:hanging="288"/>
      </w:pPr>
      <w:r>
        <w:rPr>
          <w:b w:val="0"/>
        </w:rPr>
        <w:t xml:space="preserve">3.  </w:t>
      </w:r>
      <w:r>
        <w:rPr>
          <w:b/>
          <w:i w:val="0"/>
        </w:rPr>
        <w:t>Score</w:t>
      </w:r>
      <w:r>
        <w:rPr>
          <w:b w:val="0"/>
          <w:i w:val="0"/>
        </w:rPr>
        <w:t xml:space="preserve"> — confidence is rescored from the per-source baseline. A representative example: a thermal anomaly at 0.70 confidence corroborated by an acoustic / thermal ground patrol and an operating-limit exceedance on a related process tag is rescored to ~ 0.95.</w:t>
      </w:r>
    </w:p>
    <w:p>
      <w:pPr>
        <w:spacing w:before="0" w:after="60"/>
        <w:ind w:left="504" w:hanging="288"/>
      </w:pPr>
      <w:r>
        <w:rPr>
          <w:b w:val="0"/>
        </w:rPr>
        <w:t xml:space="preserve">4.  </w:t>
      </w:r>
      <w:r>
        <w:rPr>
          <w:b/>
          <w:i w:val="0"/>
        </w:rPr>
        <w:t>Surface</w:t>
      </w:r>
      <w:r>
        <w:rPr>
          <w:b w:val="0"/>
          <w:i w:val="0"/>
        </w:rPr>
        <w:t xml:space="preserve"> — the rescored finding is presented to the operator with all source records attached. The Filter Skill and Stage 3.5 consistency gate (see Integrity Analytical Chain) still apply; cross-source uplift cannot override a hard rejection.</w:t>
      </w:r>
    </w:p>
    <w:p>
      <w:pPr>
        <w:pStyle w:val="Heading3"/>
      </w:pPr>
      <w:r>
        <w:rPr>
          <w:b w:val="0"/>
          <w:i w:val="0"/>
        </w:rPr>
        <w:t>Why this is the moat</w:t>
      </w:r>
    </w:p>
    <w:p>
      <w:pPr>
        <w:spacing w:before="0" w:after="120"/>
      </w:pPr>
      <w:r>
        <w:rPr>
          <w:b w:val="0"/>
          <w:i w:val="0"/>
        </w:rPr>
        <w:t xml:space="preserve">A single-source detection is structurally exposed to environmental noise. A multi-source confirmed detection is the result of independent physical signals agreeing on a precise spatial-temporal coordinate — a much harder thing to fake. v3.3's external claim follows directly: </w:t>
      </w:r>
      <w:r>
        <w:rPr>
          <w:b/>
          <w:i w:val="0"/>
        </w:rPr>
        <w:t>multi-source confirmed findings target TPR &gt; 98% / FPR &lt; 2%</w:t>
      </w:r>
      <w:r>
        <w:rPr>
          <w:b w:val="0"/>
          <w:i w:val="0"/>
        </w:rPr>
        <w:t>, while single-source modality-specific targets remain as documented in Operations.</w:t>
      </w:r>
    </w:p>
    <w:p>
      <w:pPr>
        <w:spacing w:before="0" w:after="120"/>
      </w:pPr>
      <w:r>
        <w:rPr>
          <w:b w:val="0"/>
          <w:i w:val="0"/>
        </w:rPr>
        <w:t>Cross-source confirmation does not replace engineering validation. It improves prioritization, confidence calibration, and inspection planning by showing when multiple independent signals are converging on the same asset condition.</w:t>
      </w:r>
    </w:p>
    <w:p>
      <w:pPr>
        <w:pStyle w:val="Heading1"/>
      </w:pPr>
      <w:r>
        <w:rPr>
          <w:b w:val="0"/>
          <w:i w:val="0"/>
        </w:rPr>
        <w:t>Scale &amp; Impact — From "We Found Something" to "Inspect These Eight Locations Next"</w:t>
      </w:r>
    </w:p>
    <w:p>
      <w:pPr>
        <w:spacing w:before="0" w:after="120"/>
      </w:pPr>
      <w:r>
        <w:rPr>
          <w:b w:val="0"/>
          <w:i w:val="0"/>
        </w:rPr>
        <w:t>A common failure mode for industrial AI platforms is that they are demonstrated, not deployed: a single anomaly on a single asset, dressed up as a product. v3.3 promotes the MVP v0.2 evidence to a dedicated chapter so the procurement team can see, on one page, that Kav AI operates at facility scale, repeatably, and with a direct line to financial impact.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Why this section exists v3.2 references "facility scale" in passing. v3.3 puts the numbers, the workflow, and the dollar framing on the table where customers, partners, and reference callers can find them without digging into the appendices.</w:t>
            </w:r>
          </w:p>
        </w:tc>
      </w:tr>
    </w:tbl>
    <w:p>
      <w:pPr>
        <w:spacing w:before="40" w:after="120"/>
      </w:pPr>
    </w:p>
    <w:p>
      <w:pPr>
        <w:pStyle w:val="Heading2"/>
      </w:pPr>
      <w:r>
        <w:rPr>
          <w:b w:val="0"/>
          <w:i w:val="0"/>
        </w:rPr>
        <w:t>What MVP v0.2 proves</w:t>
      </w:r>
    </w:p>
    <w:p>
      <w:pPr>
        <w:spacing w:before="0" w:after="120"/>
      </w:pPr>
      <w:r>
        <w:rPr>
          <w:b w:val="0"/>
          <w:i w:val="0"/>
        </w:rPr>
        <w:t xml:space="preserve">MVP v0.2 is the second step in Kav AI's public-facing demonstration sequence (see Journey — </w:t>
      </w:r>
      <w:r>
        <w:rPr>
          <w:b w:val="0"/>
          <w:i/>
        </w:rPr>
        <w:t>MVP demonstration sequence</w:t>
      </w:r>
      <w:r>
        <w:rPr>
          <w:b w:val="0"/>
          <w:i w:val="0"/>
        </w:rPr>
        <w:t>). It answers the three questions an operator will ask at the first procurement meeting:</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Operator question</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MVP v0.2 answer</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Can this system scale beyond a demo?</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The platform processes </w:t>
            </w:r>
            <w:r>
              <w:rPr>
                <w:rFonts w:ascii="Arial" w:hAnsi="Arial"/>
                <w:b/>
                <w:i w:val="0"/>
                <w:color w:val="111111"/>
                <w:sz w:val="20"/>
              </w:rPr>
              <w:t>thousands of assets and dozens of anomalies in a single run</w:t>
            </w:r>
            <w:r>
              <w:rPr>
                <w:rFonts w:ascii="Arial" w:hAnsi="Arial"/>
                <w:b w:val="0"/>
                <w:i w:val="0"/>
                <w:color w:val="111111"/>
                <w:sz w:val="20"/>
              </w:rPr>
              <w:t>, not isolated findings.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Does it help me decide what to do?</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Every high-priority anomaly includes </w:t>
            </w:r>
            <w:r>
              <w:rPr>
                <w:rFonts w:ascii="Arial" w:hAnsi="Arial"/>
                <w:b/>
                <w:i w:val="0"/>
                <w:color w:val="111111"/>
                <w:sz w:val="20"/>
              </w:rPr>
              <w:t>recommended inspection actions</w:t>
            </w:r>
            <w:r>
              <w:rPr>
                <w:rFonts w:ascii="Arial" w:hAnsi="Arial"/>
                <w:b w:val="0"/>
                <w:i w:val="0"/>
                <w:color w:val="111111"/>
                <w:sz w:val="20"/>
              </w:rPr>
              <w:t xml:space="preserve"> tied to operational workflows.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Is the output meaningful to my business?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Findings are connected to </w:t>
            </w:r>
            <w:r>
              <w:rPr>
                <w:rFonts w:ascii="Arial" w:hAnsi="Arial"/>
                <w:b/>
                <w:i w:val="0"/>
                <w:color w:val="111111"/>
                <w:sz w:val="20"/>
              </w:rPr>
              <w:t>risk and economic impact</w:t>
            </w:r>
            <w:r>
              <w:rPr>
                <w:rFonts w:ascii="Arial" w:hAnsi="Arial"/>
                <w:b w:val="0"/>
                <w:i w:val="0"/>
                <w:color w:val="111111"/>
                <w:sz w:val="20"/>
              </w:rPr>
              <w:t>, not just temperature differences.</w:t>
            </w:r>
          </w:p>
        </w:tc>
      </w:tr>
    </w:tbl>
    <w:p>
      <w:pPr>
        <w:spacing w:before="40" w:after="120"/>
      </w:pPr>
    </w:p>
    <w:p>
      <w:pPr>
        <w:pStyle w:val="Heading2"/>
      </w:pPr>
      <w:r>
        <w:rPr>
          <w:b w:val="0"/>
          <w:i w:val="0"/>
        </w:rPr>
        <w:t>Facility-scale evidence</w:t>
      </w:r>
    </w:p>
    <w:p>
      <w:pPr>
        <w:spacing w:before="0" w:after="120"/>
      </w:pPr>
      <w:r>
        <w:rPr>
          <w:b w:val="0"/>
          <w:i w:val="0"/>
        </w:rPr>
        <w:t>The MVP v0.2 facility scan demonstrates Kav AI operating at a unit-level scale that is procurement-relevant rather than demo-relevant: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Metric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MVP v0.2 result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Assets scanned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1,200</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Thermal anomalies detected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37</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High-priority anomalies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8</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Coverage achieved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65% of a production unit in a single deployment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Output format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Ranked inspection set with recommended actions, not a flat anomaly list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timing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Targeted at the next scheduled outage / shutdown, not opportunistic</w:t>
            </w:r>
          </w:p>
        </w:tc>
      </w:tr>
    </w:tbl>
    <w:p>
      <w:pPr>
        <w:spacing w:before="40" w:after="120"/>
      </w:pPr>
    </w:p>
    <w:p>
      <w:pPr>
        <w:spacing w:before="0" w:after="120"/>
      </w:pPr>
      <w:r>
        <w:rPr>
          <w:b w:val="0"/>
          <w:i w:val="0"/>
        </w:rPr>
        <w:t xml:space="preserve">Coverage is repeatable and extendable across the facility. This reframes the platform from an "interesting detection tool" to a </w:t>
      </w:r>
      <w:r>
        <w:rPr>
          <w:b/>
          <w:i w:val="0"/>
        </w:rPr>
        <w:t>practical inspection coverage solution</w:t>
      </w:r>
      <w:r>
        <w:rPr>
          <w:b w:val="0"/>
          <w:i w:val="0"/>
        </w:rPr>
        <w:t>.</w:t>
      </w:r>
    </w:p>
    <w:p>
      <w:pPr>
        <w:pStyle w:val="Heading2"/>
      </w:pPr>
      <w:r>
        <w:rPr>
          <w:b w:val="0"/>
          <w:i w:val="0"/>
        </w:rPr>
        <w:t>Decision context — detection → diagnosis → action</w:t>
      </w:r>
    </w:p>
    <w:p>
      <w:pPr>
        <w:spacing w:before="0" w:after="120"/>
      </w:pPr>
      <w:r>
        <w:rPr>
          <w:b w:val="0"/>
          <w:i w:val="0"/>
        </w:rPr>
        <w:t>The platform does not stop at flagging an anomaly. The MVP v0.2 representative finding shows the full chain a buyer expects to see (the example below is generic and would be replaced by an industry-appropriate case during onboarding — for a steel facility, equivalent examples include refractory hot-spots on a furnace shell, abnormal thermal gradients across a ladle or tundish, hot-spots on transfer ducts, or thermal signatures on cooling-water headers):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Stage</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Representative output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Insulated / refractory-lined process equipment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Observed condition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Localized surface temperature elevated well above the surrounding shell baseline; </w:t>
            </w:r>
            <w:r>
              <w:rPr>
                <w:rFonts w:ascii="Arial" w:hAnsi="Arial"/>
                <w:b/>
                <w:i w:val="0"/>
                <w:color w:val="111111"/>
                <w:sz w:val="20"/>
              </w:rPr>
              <w:t>ΔT ~ 85 °F (≈ 47 °C)</w:t>
            </w:r>
            <w:r>
              <w:rPr>
                <w:rFonts w:ascii="Arial" w:hAnsi="Arial"/>
                <w:b w:val="0"/>
                <w:i w:val="0"/>
                <w:color w:val="111111"/>
                <w:sz w:val="20"/>
              </w:rPr>
              <w:t xml:space="preserve"> vs. ambient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Secondary signal</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Adjacent structural steel ΔT ~ 49 °F (≈ 27 °C)</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Interpretation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Thermal signature consistent with insulation / refractory breakdown; elevated likelihood of localized wall-loss or hot-face degradation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action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Prioritize location for close-up inspection (e.g., ultrasonic thickness, refractory-thickness sounding, or visual inspection as appropriate) at next scheduled outage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posture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Single-source thermal detection at the MVP stage; cross-source correlation against robot acoustic / vibration data and operating-data trends is the v3.3 evolution path for the same finding</w:t>
            </w:r>
          </w:p>
        </w:tc>
      </w:tr>
    </w:tbl>
    <w:p>
      <w:pPr>
        <w:spacing w:before="40" w:after="120"/>
      </w:pPr>
    </w:p>
    <w:p>
      <w:pPr>
        <w:spacing w:before="0" w:after="120"/>
      </w:pPr>
      <w:r>
        <w:rPr>
          <w:b w:val="0"/>
          <w:i w:val="0"/>
        </w:rPr>
        <w:t xml:space="preserve">The selection basis for high-priority items combines </w:t>
      </w:r>
      <w:r>
        <w:rPr>
          <w:b/>
          <w:i w:val="0"/>
        </w:rPr>
        <w:t>thermal severity, pattern consistency across the dataset, and cross-asset comparison</w:t>
      </w:r>
      <w:r>
        <w:rPr>
          <w:b w:val="0"/>
          <w:i w:val="0"/>
        </w:rPr>
        <w:t xml:space="preserve"> — not raw anomaly count.</w:t>
      </w:r>
    </w:p>
    <w:p>
      <w:pPr>
        <w:pStyle w:val="Heading2"/>
      </w:pPr>
      <w:r>
        <w:rPr>
          <w:b w:val="0"/>
          <w:i w:val="0"/>
        </w:rPr>
        <w:t>Economic framing</w:t>
      </w:r>
    </w:p>
    <w:p>
      <w:pPr>
        <w:spacing w:before="0" w:after="120"/>
      </w:pPr>
      <w:r>
        <w:rPr>
          <w:b w:val="0"/>
          <w:i w:val="0"/>
        </w:rPr>
        <w:t>Thermal anomalies are translated into business-relevant risk so that the procurement conversation can move from "interesting" to "fundable":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Variable</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Range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Typical failure consequence (if unaddressed)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 six- to low seven-figure USD per event at large industrial sites (forced outage, repair, lost production) — exact value is site- and unit-specific</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v0.2 scenario estimate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$750K – $1.5M avoided cost potential</w:t>
            </w:r>
            <w:r>
              <w:rPr>
                <w:rFonts w:ascii="Arial" w:hAnsi="Arial"/>
                <w:b w:val="0"/>
                <w:i w:val="0"/>
                <w:color w:val="111111"/>
                <w:sz w:val="20"/>
              </w:rPr>
              <w:t xml:space="preserve"> for the eight high-priority items in the reference scenario</w:t>
            </w:r>
          </w:p>
        </w:tc>
      </w:tr>
    </w:tbl>
    <w:p>
      <w:pPr>
        <w:spacing w:before="40" w:after="120"/>
      </w:pPr>
    </w:p>
    <w:p>
      <w:pPr>
        <w:spacing w:before="0" w:after="120"/>
      </w:pPr>
      <w:r>
        <w:rPr>
          <w:b w:val="0"/>
          <w:i w:val="0"/>
        </w:rPr>
        <w:t>This ties the platform output directly to the same economic levers that industry RAM benchmarking studies use to compare top- and bottom-quartile facilities (see Executive Summary). The exact benchmarking source used in commercial conversation depends on the customer's industry (e.g., Solomon Associates for hydrocarbons; equivalent benchmarking organizations exist for power, metals, pulp &amp; paper, and chemicals).</w:t>
      </w:r>
    </w:p>
    <w:p>
      <w:pPr>
        <w:pStyle w:val="Heading2"/>
      </w:pPr>
      <w:r>
        <w:rPr>
          <w:b w:val="0"/>
          <w:i w:val="0"/>
        </w:rPr>
        <w:t>Role of AI at this scale</w:t>
      </w:r>
    </w:p>
    <w:p>
      <w:pPr>
        <w:spacing w:before="0" w:after="120"/>
      </w:pPr>
      <w:r>
        <w:rPr>
          <w:b w:val="0"/>
          <w:i w:val="0"/>
        </w:rPr>
        <w:t>A critical positioning shift between MVP v0.1 and MVP v0.2 is making the role of AI explicit:</w:t>
      </w:r>
    </w:p>
    <w:p>
      <w:pPr>
        <w:spacing w:before="0" w:after="120"/>
      </w:pPr>
      <w:r>
        <w:rPr>
          <w:b w:val="0"/>
          <w:i w:val="0"/>
        </w:rPr>
        <w:t xml:space="preserve">&gt; The drone and thermal camera collect data — &gt; </w:t>
      </w:r>
      <w:r>
        <w:rPr>
          <w:b/>
          <w:i w:val="0"/>
        </w:rPr>
        <w:t>Kav AI is what makes that data usable at scale.</w:t>
      </w:r>
    </w:p>
    <w:p>
      <w:pPr>
        <w:spacing w:before="0" w:after="120"/>
      </w:pPr>
      <w:r>
        <w:rPr>
          <w:b w:val="0"/>
          <w:i w:val="0"/>
        </w:rPr>
        <w:t>At facility scale the AI layer is responsible for:</w:t>
      </w:r>
    </w:p>
    <w:p>
      <w:pPr>
        <w:spacing w:before="0" w:after="60"/>
        <w:ind w:left="504" w:hanging="288"/>
      </w:pPr>
      <w:r>
        <w:rPr>
          <w:b w:val="0"/>
        </w:rPr>
        <w:t xml:space="preserve">•  </w:t>
      </w:r>
      <w:r>
        <w:rPr>
          <w:b w:val="0"/>
          <w:i w:val="0"/>
        </w:rPr>
        <w:t>Indexing and organizing inspection data across thousands of assets</w:t>
      </w:r>
    </w:p>
    <w:p>
      <w:pPr>
        <w:spacing w:before="0" w:after="60"/>
        <w:ind w:left="504" w:hanging="288"/>
      </w:pPr>
      <w:r>
        <w:rPr>
          <w:b w:val="0"/>
        </w:rPr>
        <w:t xml:space="preserve">•  </w:t>
      </w:r>
      <w:r>
        <w:rPr>
          <w:b w:val="0"/>
          <w:i w:val="0"/>
        </w:rPr>
        <w:t>Detecting anomalies across large datasets in a single run</w:t>
      </w:r>
    </w:p>
    <w:p>
      <w:pPr>
        <w:spacing w:before="0" w:after="60"/>
        <w:ind w:left="504" w:hanging="288"/>
      </w:pPr>
      <w:r>
        <w:rPr>
          <w:b w:val="0"/>
        </w:rPr>
        <w:t xml:space="preserve">•  </w:t>
      </w:r>
      <w:r>
        <w:rPr>
          <w:b w:val="0"/>
          <w:i w:val="0"/>
        </w:rPr>
        <w:t>Ranking findings by priority and cross-asset comparison</w:t>
      </w:r>
    </w:p>
    <w:p>
      <w:pPr>
        <w:spacing w:before="0" w:after="60"/>
        <w:ind w:left="504" w:hanging="288"/>
      </w:pPr>
      <w:r>
        <w:rPr>
          <w:b w:val="0"/>
        </w:rPr>
        <w:t xml:space="preserve">•  </w:t>
      </w:r>
      <w:r>
        <w:rPr>
          <w:b w:val="0"/>
          <w:i w:val="0"/>
        </w:rPr>
        <w:t>Enabling natural-language retrieval across the same dataset</w:t>
      </w:r>
    </w:p>
    <w:p>
      <w:pPr>
        <w:spacing w:before="0" w:after="60"/>
        <w:ind w:left="504" w:hanging="288"/>
      </w:pPr>
      <w:r>
        <w:rPr>
          <w:b w:val="0"/>
        </w:rPr>
        <w:t xml:space="preserve">•  </w:t>
      </w:r>
      <w:r>
        <w:rPr>
          <w:b w:val="0"/>
          <w:i w:val="0"/>
        </w:rPr>
        <w:t>Surfacing coverage gaps and revisit candidates back to the patrol planner</w:t>
      </w:r>
    </w:p>
    <w:p>
      <w:pPr>
        <w:spacing w:before="0" w:after="120"/>
      </w:pPr>
      <w:r>
        <w:rPr>
          <w:b w:val="0"/>
          <w:i w:val="0"/>
        </w:rPr>
        <w:t>Without this layer the workflow does not scale beyond manual review — and manual review is the workflow that today reviews fewer than 10% of captured imagery.</w:t>
      </w:r>
    </w:p>
    <w:p>
      <w:pPr>
        <w:pStyle w:val="Heading2"/>
      </w:pPr>
      <w:r>
        <w:rPr>
          <w:b w:val="0"/>
          <w:i w:val="0"/>
        </w:rPr>
        <w:t>Where Scale &amp; Impact connects in the rest of the PRD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Topic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Where it lives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Workflow that consumes the ranked inspection set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Operational Workflow — Anomaly-to-Action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Per-modality and cross-source detection / FPR targets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Operational Workflow — Performance and Accuracy Targets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Risk quantification and industry RAM benchmarking behind the avoided-cost number</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Analytical Chain — Stage 5</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Continuous coverage that compounds the v0.2 scan into trend data</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Expanded Capture &amp; Engineering Context — Autonomous robot coverage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Partner-led validation of MVP-style findings before they reach the CMMS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Partner-Integrated Delivery Model</w:t>
            </w:r>
          </w:p>
        </w:tc>
      </w:tr>
    </w:tbl>
    <w:p>
      <w:pPr>
        <w:spacing w:before="40" w:after="120"/>
      </w:pPr>
    </w:p>
    <w:p>
      <w:pPr>
        <w:pStyle w:val="Heading1"/>
      </w:pPr>
      <w:r>
        <w:rPr>
          <w:b w:val="0"/>
          <w:i w:val="0"/>
        </w:rPr>
        <w:t>Operational Workflow — Anomaly-to-Action</w:t>
      </w:r>
    </w:p>
    <w:p>
      <w:pPr>
        <w:spacing w:before="0" w:after="120"/>
      </w:pPr>
      <w:r>
        <w:rPr>
          <w:b w:val="0"/>
          <w:i w:val="0"/>
        </w:rPr>
        <w:t>To ensure Kav AI reduces cognitive load rather than creating "alarm fatigue," the platform follows a structured escalation path for every identified anomaly. v3.2 preserved the v2.9 human-in-the-loop workflow and extended it to account for robot-sourced findings, cross-source confirmation, and richer engineering context at the point of triage. v3.3 keeps that workflow intact and adds a cross-source confirmed performance target alongside the per-modality targets.</w:t>
      </w:r>
    </w:p>
    <w:p>
      <w:pPr>
        <w:spacing w:before="160" w:after="80"/>
        <w:jc w:val="center"/>
      </w:pPr>
      <w:r>
        <w:drawing>
          <wp:inline>
            <wp:extent cx="5760720" cy="5388099"/>
            <wp:docPr id="5" name="Picture 5"/>
            <wp:cNvGraphicFramePr>
              <a:graphicFrameLocks noChangeAspect="1"/>
            </wp:cNvGraphicFramePr>
            <a:graphic>
              <a:graphicData uri="http://schemas.openxmlformats.org/drawingml/2006/picture">
                <pic:pic>
                  <pic:nvPicPr>
                    <pic:cNvPr id="0" name="mermaid_fig5.png"/>
                    <pic:cNvPicPr/>
                  </pic:nvPicPr>
                  <pic:blipFill>
                    <a:blip r:embed="rId15"/>
                    <a:stretch>
                      <a:fillRect/>
                    </a:stretch>
                  </pic:blipFill>
                  <pic:spPr>
                    <a:xfrm>
                      <a:off x="0" y="0"/>
                      <a:ext cx="5760720" cy="5388099"/>
                    </a:xfrm>
                    <a:prstGeom prst="rect"/>
                  </pic:spPr>
                </pic:pic>
              </a:graphicData>
            </a:graphic>
          </wp:inline>
        </w:drawing>
      </w:r>
    </w:p>
    <w:p>
      <w:pPr>
        <w:spacing w:before="40" w:after="160"/>
        <w:jc w:val="left"/>
      </w:pPr>
      <w:r>
        <w:rPr>
          <w:i/>
          <w:color w:val="666666"/>
          <w:sz w:val="19"/>
        </w:rPr>
        <w:t>Figure 4.  Operator Workflow (Human-in-the-Loop).  High-consequence findings require human validation before transition to work order systems, while low-severity items are logged directly to the asset's world model. v3.3 retains this decision structure even when findings originate from autonomous patrols or multi-source correlation; multi-source confirmed findings can bypass the manual verification queue but never bypass the deterministic Filter Skill.</w:t>
      </w:r>
    </w:p>
    <w:p>
      <w:pPr>
        <w:pStyle w:val="Heading2"/>
      </w:pPr>
      <w:r>
        <w:rPr>
          <w:b w:val="0"/>
          <w:i w:val="0"/>
        </w:rPr>
        <w:t>The Triage-to-Escalation Path</w:t>
      </w:r>
    </w:p>
    <w:p>
      <w:pPr>
        <w:spacing w:before="0" w:after="120"/>
      </w:pPr>
      <w:r>
        <w:rPr>
          <w:b w:val="0"/>
          <w:i w:val="0"/>
        </w:rPr>
        <w:t>The workflow from AI detection to field action is governed by a four-stage process involving distinct operational roles:</w:t>
      </w:r>
    </w:p>
    <w:p>
      <w:pPr>
        <w:spacing w:before="0" w:after="60"/>
        <w:ind w:left="504" w:hanging="288"/>
      </w:pPr>
      <w:r>
        <w:rPr>
          <w:b w:val="0"/>
        </w:rPr>
        <w:t xml:space="preserve">1.  </w:t>
      </w:r>
      <w:r>
        <w:rPr>
          <w:b/>
          <w:i w:val="0"/>
        </w:rPr>
        <w:t>Stage A (Automated Triage)</w:t>
      </w:r>
      <w:r>
        <w:rPr>
          <w:b w:val="0"/>
          <w:i w:val="0"/>
        </w:rPr>
        <w:t xml:space="preserve">: AI identifies an anomaly, runs the </w:t>
      </w:r>
      <w:r>
        <w:rPr>
          <w:b/>
          <w:i w:val="0"/>
        </w:rPr>
        <w:t>cross-source correlation engine</w:t>
      </w:r>
      <w:r>
        <w:rPr>
          <w:b w:val="0"/>
          <w:i w:val="0"/>
        </w:rPr>
        <w:t xml:space="preserve">, and assigns an initial severity score (Critical/Standard/Info). </w:t>
      </w:r>
      <w:r>
        <w:rPr>
          <w:b/>
          <w:i w:val="0"/>
        </w:rPr>
        <w:t>Low-confidence alerts (&lt;0.7) are filtered from the primary 'Action' dashboard and moved to a 'Review' queue.</w:t>
      </w:r>
      <w:r>
        <w:rPr>
          <w:b w:val="0"/>
          <w:i w:val="0"/>
        </w:rPr>
        <w:t xml:space="preserve"> From v3.2 onwards, the triage packet also includes source type (drone, robot, control system / historian), patrol or campaign identifier, and CAD-linked asset identity. v3.3 adds the explicit </w:t>
      </w:r>
      <w:r>
        <w:rPr>
          <w:b/>
          <w:i w:val="0"/>
        </w:rPr>
        <w:t>correlation category</w:t>
      </w:r>
      <w:r>
        <w:rPr>
          <w:b w:val="0"/>
          <w:i w:val="0"/>
        </w:rPr>
        <w:t xml:space="preserve"> (single-source / corroborated / multi-source confirmed) on the triage packet.</w:t>
      </w:r>
    </w:p>
    <w:p>
      <w:pPr>
        <w:spacing w:before="0" w:after="60"/>
        <w:ind w:left="504" w:hanging="288"/>
      </w:pPr>
      <w:r>
        <w:rPr>
          <w:b w:val="0"/>
        </w:rPr>
        <w:t xml:space="preserve">2.  </w:t>
      </w:r>
      <w:r>
        <w:rPr>
          <w:b/>
          <w:i w:val="0"/>
        </w:rPr>
        <w:t>Stage B (Human Verification)</w:t>
      </w:r>
      <w:r>
        <w:rPr>
          <w:b w:val="0"/>
          <w:i w:val="0"/>
        </w:rPr>
        <w:t xml:space="preserve">: High-severity anomalies are surfaced to the </w:t>
      </w:r>
      <w:r>
        <w:rPr>
          <w:b/>
          <w:i w:val="0"/>
        </w:rPr>
        <w:t>On-call Integrity / Reliability Engineer's</w:t>
      </w:r>
      <w:r>
        <w:rPr>
          <w:b w:val="0"/>
          <w:i w:val="0"/>
        </w:rPr>
        <w:t xml:space="preserve"> dashboard (desktop/mobile). The engineer must select: </w:t>
      </w:r>
      <w:r>
        <w:rPr>
          <w:b/>
          <w:i w:val="0"/>
        </w:rPr>
        <w:t>'Confirm' (Escalate to Field), 'Dismiss' (False Positive - Model Feedback), or 'Reclassify' (Adjust Severity).</w:t>
      </w:r>
      <w:r>
        <w:rPr>
          <w:b w:val="0"/>
          <w:i w:val="0"/>
        </w:rPr>
        <w:t xml:space="preserve"> Cross-source corroboration can raise priority and, in the multi-source confirmed class, can shorten the queue, but it does not bypass deterministic Filter Skill rejection or Stage 3.5 inconsistency flags.</w:t>
      </w:r>
    </w:p>
    <w:p>
      <w:pPr>
        <w:spacing w:before="0" w:after="60"/>
        <w:ind w:left="504" w:hanging="288"/>
      </w:pPr>
      <w:r>
        <w:rPr>
          <w:b w:val="0"/>
        </w:rPr>
        <w:t xml:space="preserve">3.  </w:t>
      </w:r>
      <w:r>
        <w:rPr>
          <w:b/>
          <w:i w:val="0"/>
        </w:rPr>
        <w:t>Stage C (Escalation &amp; Audit)</w:t>
      </w:r>
      <w:r>
        <w:rPr>
          <w:b w:val="0"/>
          <w:i w:val="0"/>
        </w:rPr>
        <w:t xml:space="preserve">: Confirmed anomalies generate an "Actionable Insight" record. </w:t>
      </w:r>
      <w:r>
        <w:rPr>
          <w:b/>
          <w:i w:val="0"/>
        </w:rPr>
        <w:t>Every 'Dismiss' or 'Confirm' decision is timestamped and logged in a shift-handover audit report visible to the Operations / Maintenance Supervisor.</w:t>
      </w:r>
      <w:r>
        <w:rPr>
          <w:b w:val="0"/>
          <w:i w:val="0"/>
        </w:rPr>
        <w:t xml:space="preserve"> Coverage context and engineering-change context are attached where available.</w:t>
      </w:r>
    </w:p>
    <w:p>
      <w:pPr>
        <w:spacing w:before="0" w:after="60"/>
        <w:ind w:left="504" w:hanging="288"/>
      </w:pPr>
      <w:r>
        <w:rPr>
          <w:b w:val="0"/>
        </w:rPr>
        <w:t xml:space="preserve">4.  </w:t>
      </w:r>
      <w:r>
        <w:rPr>
          <w:b/>
          <w:i w:val="0"/>
        </w:rPr>
        <w:t>Stage D (CMMS Integration)</w:t>
      </w:r>
      <w:r>
        <w:rPr>
          <w:b w:val="0"/>
          <w:i w:val="0"/>
        </w:rPr>
        <w:t xml:space="preserve">: Verified insights provide a structured data packet for the operator's CMMS / EAM (e.g., SAP PM, IBM Maximo, or equivalent) to initiate a work order or maintenance notification. </w:t>
      </w:r>
      <w:r>
        <w:rPr>
          <w:b/>
          <w:i w:val="0"/>
        </w:rPr>
        <w:t>Kav AI reduces the 'Triage-to-Work Order' cycle from 5–10 days to &lt; 4 hours.</w:t>
      </w:r>
      <w:r>
        <w:rPr>
          <w:b w:val="0"/>
          <w:i w:val="0"/>
        </w:rPr>
        <w:t xml:space="preserve"> SAP PM remains the first certified connector priority because it opens the largest installed-base pathway across heavy industry.</w:t>
      </w:r>
    </w:p>
    <w:p>
      <w:pPr>
        <w:pStyle w:val="Heading2"/>
      </w:pPr>
      <w:r>
        <w:rPr>
          <w:b w:val="0"/>
          <w:i w:val="0"/>
        </w:rPr>
        <w:t>Performance and Accuracy Targets</w:t>
      </w:r>
    </w:p>
    <w:p>
      <w:pPr>
        <w:spacing w:before="0" w:after="120"/>
      </w:pPr>
      <w:r>
        <w:rPr>
          <w:b w:val="0"/>
          <w:i w:val="0"/>
        </w:rPr>
        <w:t>To maintain operational trust, Kav AI commits to the following detection and false positive targets for Q3/Q4 2026 (benchmarked against M0/M1 datasets and validated by ground-truth NDT):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Modality / class</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True Positive Rate (TPR)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False Positive Rate (FPR)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Visual (RGB)</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85%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15%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Thermal (Point)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10%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Specialty imagery (e.g., gas / OGI where applicable)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Operating-limit exceedance (control system / historian)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98%</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corroborated (2 sources)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Multi-source confirmed (3+ sources)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&gt; 98%</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&lt; 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bl>
    <w:p>
      <w:pPr>
        <w:spacing w:before="40" w:after="120"/>
      </w:pPr>
    </w:p>
    <w:p>
      <w:pPr>
        <w:spacing w:before="40" w:after="160"/>
        <w:jc w:val="left"/>
      </w:pPr>
      <w:r>
        <w:rPr>
          <w:i/>
          <w:color w:val="666666"/>
          <w:sz w:val="19"/>
        </w:rPr>
        <w:t>Detection rates are based on the Kav AI M0/M1 validation campaigns and require site-specific calibration during the 90-day pilot phase. The multi-source confirmed line is the externally-quoted "moat" claim and is the only class that may bypass the manual verification queue (still subject to Filter Skill and Stage 3.5 consistency).</w:t>
      </w:r>
    </w:p>
    <w:p>
      <w:pPr>
        <w:pStyle w:val="Heading2"/>
      </w:pPr>
      <w:r>
        <w:rPr>
          <w:b w:val="0"/>
          <w:i w:val="0"/>
        </w:rPr>
        <w:t>Human-in-the-Loop (HITL) Validation</w:t>
      </w:r>
    </w:p>
    <w:p>
      <w:pPr>
        <w:spacing w:before="0" w:after="120"/>
      </w:pPr>
      <w:r>
        <w:rPr>
          <w:b w:val="0"/>
          <w:i w:val="0"/>
        </w:rPr>
        <w:t>Kav AI is a decision-support tool, not an autonomous inspector. No "Critical" severity output or "Remaining Life" adjustment can be finalized without individual engineer sign-off in the platform. Every such action is captured in the version-controlled audit trail.</w:t>
      </w:r>
    </w:p>
    <w:p>
      <w:pPr>
        <w:pStyle w:val="Heading2"/>
      </w:pPr>
      <w:r>
        <w:rPr>
          <w:b w:val="0"/>
          <w:i w:val="0"/>
        </w:rPr>
        <w:t>Business Readiness &amp; Referenceability</w:t>
      </w:r>
    </w:p>
    <w:p>
      <w:pPr>
        <w:spacing w:before="0" w:after="120"/>
      </w:pPr>
      <w:r>
        <w:rPr>
          <w:b w:val="0"/>
          <w:i w:val="0"/>
        </w:rPr>
        <w:t>Kav AI recognizes that enterprise procurement requires a clear path to value and financial predictability.</w:t>
      </w:r>
    </w:p>
    <w:p>
      <w:pPr>
        <w:pStyle w:val="Heading3"/>
      </w:pPr>
      <w:r>
        <w:rPr>
          <w:b w:val="0"/>
          <w:i w:val="0"/>
        </w:rPr>
        <w:t>Cost Model &amp; ROI Modeling</w:t>
      </w:r>
    </w:p>
    <w:p>
      <w:pPr>
        <w:spacing w:before="0" w:after="120"/>
      </w:pPr>
      <w:r>
        <w:rPr>
          <w:b w:val="0"/>
          <w:i w:val="0"/>
        </w:rPr>
        <w:t xml:space="preserve">Kav AI recognizes that enterprise procurement requires a clear path to value and financial predictability. </w:t>
      </w:r>
      <w:r>
        <w:rPr>
          <w:b/>
          <w:i w:val="0"/>
        </w:rPr>
        <w:t>Indicative pricing components include:</w:t>
      </w:r>
    </w:p>
    <w:p>
      <w:pPr>
        <w:spacing w:before="0" w:after="60"/>
        <w:ind w:left="504" w:hanging="288"/>
      </w:pPr>
      <w:r>
        <w:rPr>
          <w:b w:val="0"/>
        </w:rPr>
        <w:t xml:space="preserve">•  </w:t>
      </w:r>
      <w:r>
        <w:rPr>
          <w:b/>
          <w:i w:val="0"/>
        </w:rPr>
        <w:t>Annual Subscription (License)</w:t>
      </w:r>
      <w:r>
        <w:rPr>
          <w:b w:val="0"/>
          <w:i w:val="0"/>
        </w:rPr>
        <w:t>: Per-facility tiered pricing based on asset count.</w:t>
      </w:r>
    </w:p>
    <w:p>
      <w:pPr>
        <w:spacing w:before="0" w:after="60"/>
        <w:ind w:left="504" w:hanging="288"/>
      </w:pPr>
      <w:r>
        <w:rPr>
          <w:b w:val="0"/>
        </w:rPr>
        <w:t xml:space="preserve">•  </w:t>
      </w:r>
      <w:r>
        <w:rPr>
          <w:b/>
          <w:i w:val="0"/>
        </w:rPr>
        <w:t>Implementation &amp; Integration</w:t>
      </w:r>
      <w:r>
        <w:rPr>
          <w:b w:val="0"/>
          <w:i w:val="0"/>
        </w:rPr>
        <w:t>: One-time setup fee for control-system / historian mapping and 3D Model ingestion.</w:t>
      </w:r>
    </w:p>
    <w:p>
      <w:pPr>
        <w:spacing w:before="0" w:after="60"/>
        <w:ind w:left="504" w:hanging="288"/>
      </w:pPr>
      <w:r>
        <w:rPr>
          <w:b w:val="0"/>
        </w:rPr>
        <w:t xml:space="preserve">•  </w:t>
      </w:r>
      <w:r>
        <w:rPr>
          <w:b/>
          <w:i w:val="0"/>
        </w:rPr>
        <w:t>Success &amp; Support</w:t>
      </w:r>
      <w:r>
        <w:rPr>
          <w:b w:val="0"/>
          <w:i w:val="0"/>
        </w:rPr>
        <w:t>: Ongoing model retraining and integrity / reliability engineering support.</w:t>
      </w:r>
    </w:p>
    <w:p>
      <w:pPr>
        <w:pStyle w:val="Heading3"/>
      </w:pPr>
      <w:r>
        <w:rPr>
          <w:b w:val="0"/>
          <w:i w:val="0"/>
        </w:rPr>
        <w:t>Availability &amp; Payback Commitment</w:t>
      </w:r>
    </w:p>
    <w:p>
      <w:pPr>
        <w:spacing w:before="0" w:after="120"/>
      </w:pPr>
      <w:r>
        <w:rPr>
          <w:b w:val="0"/>
          <w:i w:val="0"/>
        </w:rPr>
        <w:t xml:space="preserve">Based on industry RAM benchmarking, Kav AI targets a </w:t>
      </w:r>
      <w:r>
        <w:rPr>
          <w:b/>
          <w:i w:val="0"/>
        </w:rPr>
        <w:t>1.0 percentage point improvement in facility availability within 18 months</w:t>
      </w:r>
      <w:r>
        <w:rPr>
          <w:b w:val="0"/>
          <w:i w:val="0"/>
        </w:rPr>
        <w:t xml:space="preserve"> of full operational deployment. This is achieved through the elimination of data-latency-driven outage delays and the early detection of high-consequence failure modes. The benchmarking framework used in commercial conversation is selected per industry (e.g., Solomon Associates for hydrocarbons; equivalent benchmarking organizations for power, metals, pulp &amp; paper, and chemicals).</w:t>
      </w:r>
    </w:p>
    <w:p>
      <w:pPr>
        <w:spacing w:before="0" w:after="120"/>
      </w:pPr>
      <w:r>
        <w:rPr>
          <w:b w:val="0"/>
          <w:i w:val="0"/>
        </w:rPr>
        <w:t>For sites that adopt fixed infrastructure and repeat patrol coverage, the business case broadens:</w:t>
      </w:r>
    </w:p>
    <w:p>
      <w:pPr>
        <w:spacing w:before="0" w:after="60"/>
        <w:ind w:left="504" w:hanging="288"/>
      </w:pPr>
      <w:r>
        <w:rPr>
          <w:b w:val="0"/>
        </w:rPr>
        <w:t xml:space="preserve">•  </w:t>
      </w:r>
      <w:r>
        <w:rPr>
          <w:b/>
          <w:i w:val="0"/>
        </w:rPr>
        <w:t>Coverage continuity</w:t>
      </w:r>
      <w:r>
        <w:rPr>
          <w:b w:val="0"/>
          <w:i w:val="0"/>
        </w:rPr>
        <w:t>: higher percentage of the facility seen between major campaigns.</w:t>
      </w:r>
    </w:p>
    <w:p>
      <w:pPr>
        <w:spacing w:before="0" w:after="60"/>
        <w:ind w:left="504" w:hanging="288"/>
      </w:pPr>
      <w:r>
        <w:rPr>
          <w:b w:val="0"/>
        </w:rPr>
        <w:t xml:space="preserve">•  </w:t>
      </w:r>
      <w:r>
        <w:rPr>
          <w:b/>
          <w:i w:val="0"/>
        </w:rPr>
        <w:t>Trend visibility</w:t>
      </w:r>
      <w:r>
        <w:rPr>
          <w:b w:val="0"/>
          <w:i w:val="0"/>
        </w:rPr>
        <w:t>: progressive degradation detected across repeated passes, not only one-time campaigns.</w:t>
      </w:r>
    </w:p>
    <w:p>
      <w:pPr>
        <w:spacing w:before="0" w:after="60"/>
        <w:ind w:left="504" w:hanging="288"/>
      </w:pPr>
      <w:r>
        <w:rPr>
          <w:b w:val="0"/>
        </w:rPr>
        <w:t xml:space="preserve">•  </w:t>
      </w:r>
      <w:r>
        <w:rPr>
          <w:b/>
          <w:i w:val="0"/>
        </w:rPr>
        <w:t>Human entry reduction</w:t>
      </w:r>
      <w:r>
        <w:rPr>
          <w:b w:val="0"/>
          <w:i w:val="0"/>
        </w:rPr>
        <w:t>: especially relevant where heat, dust, gas, dose, confined space, or outage logistics make manual inspection disproportionately expensive.</w:t>
      </w:r>
    </w:p>
    <w:p>
      <w:pPr>
        <w:pStyle w:val="Heading2"/>
      </w:pPr>
      <w:r>
        <w:rPr>
          <w:b w:val="0"/>
          <w:i w:val="0"/>
        </w:rPr>
        <w:t>IDMS / EAM and Ecosystem Integration</w:t>
      </w:r>
    </w:p>
    <w:p>
      <w:pPr>
        <w:spacing w:before="0" w:after="120"/>
      </w:pPr>
      <w:r>
        <w:rPr>
          <w:b w:val="0"/>
          <w:i w:val="0"/>
        </w:rPr>
        <w:t>Kav AI is designed to sit inside existing inspection and maintenance workflows, not alongside them.</w:t>
      </w:r>
    </w:p>
    <w:p>
      <w:pPr>
        <w:pStyle w:val="Heading3"/>
      </w:pPr>
      <w:r>
        <w:rPr>
          <w:b w:val="0"/>
          <w:i w:val="0"/>
        </w:rPr>
        <w:t>Bidirectional Integration Architecture (FR-INT-03)</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Direction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flows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Purpose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Read (IDMS / EAM → Kav AI)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 register, monitoring location identifiers and baseline readings, inspection history per location, current inspection plan, open anomalies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Enables Stages 3–5 to leverage existing RBI / inspection data rather than starting from zero. Without the read direction, Kav AI cannot know what has already been inspected, what the baseline measurement was, or what the current inspection plan says.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Write (Kav AI → IDMS / EAM)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 ID, anomaly type, severity, confidence score, supporting evidence (image references, thickness / wear readings, operating-limit exceedance logs), recommended action, engineer sign-off timestamp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Confirmed anomaly findings generate inspection notifications in the operator's IDMS / EAM / CMMS to trigger work-order creation.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Conflict resolution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When Kav AI's degradation / wear rate disagrees with the IDMS's existing rate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flags the discrepancy and surfaces both values to the engineer — does not silently override the existing record.</w:t>
            </w:r>
          </w:p>
        </w:tc>
      </w:tr>
    </w:tbl>
    <w:p>
      <w:pPr>
        <w:spacing w:before="40" w:after="120"/>
      </w:pPr>
    </w:p>
    <w:p>
      <w:pPr>
        <w:pStyle w:val="Heading3"/>
      </w:pPr>
      <w:r>
        <w:rPr>
          <w:b w:val="0"/>
          <w:i w:val="0"/>
        </w:rPr>
        <w:t>Certified Connector Priority (FR-INT-04)</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Priority</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System</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Rationale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SAP PM / SAP APM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Highest installed work-management base across heavy industry; SAP APM + thin-edge.io patterns can consume PI data where the customer already uses SAP for maintenance workflows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AVEVA PI System / AVEVA APM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Primary steel-production incumbent for high-frequency OT data, predictive analytics, and metals-specific digital-thread workflows; required read path for many blast-furnace, EAF, caster, and rolling-mill deployments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 / H1 2027</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GE Vernova APM (Meridium)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Strong RBI module already in place at many Tier-1 industrial operators; bidirectional integration is high-value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Hexagon ALI / IBM Maximo</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Asset-lifecycle and EAM platforms commonly used outside hydrocarbons (e.g., metals, power, mining); certification closes the integration loop</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r>
    </w:tbl>
    <w:p>
      <w:pPr>
        <w:spacing w:before="40" w:after="120"/>
      </w:pPr>
    </w:p>
    <w:p>
      <w:pPr>
        <w:spacing w:before="40" w:after="160"/>
        <w:jc w:val="left"/>
      </w:pPr>
      <w:r>
        <w:rPr>
          <w:i/>
          <w:color w:val="666666"/>
          <w:sz w:val="19"/>
        </w:rPr>
        <w:t>A certified integration means: a documented data schema, a tested connector, a reference customer who has run it in production, and a support SLA.</w:t>
      </w:r>
    </w:p>
    <w:p>
      <w:pPr>
        <w:pStyle w:val="Heading3"/>
      </w:pPr>
      <w:r>
        <w:rPr>
          <w:b w:val="0"/>
          <w:i w:val="0"/>
        </w:rPr>
        <w:t>Coexistence with Established RBI / APM Platforms</w:t>
      </w:r>
    </w:p>
    <w:p>
      <w:pPr>
        <w:spacing w:before="0" w:after="120"/>
      </w:pPr>
      <w:r>
        <w:rPr>
          <w:b w:val="0"/>
          <w:i w:val="0"/>
        </w:rPr>
        <w:t>Established RBI / APM platforms and Kav AI are complementary, not competitive. The coexistence pattern is the same regardless of vendor:</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System</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Owns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Data flow</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Existing RBI / APM platform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RBI model, monitoring-location history, RBI inspection plan, compliance record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RBI baseline → Kav AI Stage 5 degradation-rate input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spatial model, visual anomaly detection, operational-data → operating-limit chain, physical 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Stage 4 / 5 outputs → existing platform inspection-plan update → compliance record</w:t>
            </w:r>
          </w:p>
        </w:tc>
      </w:tr>
    </w:tbl>
    <w:p>
      <w:pPr>
        <w:spacing w:before="40" w:after="120"/>
      </w:pPr>
    </w:p>
    <w:p>
      <w:pPr>
        <w:spacing w:before="0" w:after="60"/>
        <w:ind w:left="504" w:hanging="288"/>
      </w:pPr>
      <w:r>
        <w:rPr>
          <w:b w:val="0"/>
        </w:rPr>
        <w:t xml:space="preserve">•  </w:t>
      </w:r>
      <w:r>
        <w:rPr>
          <w:b/>
          <w:i w:val="0"/>
        </w:rPr>
        <w:t>Audit Consistency</w:t>
      </w:r>
      <w:r>
        <w:rPr>
          <w:b w:val="0"/>
          <w:i w:val="0"/>
        </w:rPr>
        <w:t>: Ensures the 3D 'Spatial Record' (Kav AI) and the 'Compliance Record' (existing RBI / APM platform) remain synchronized via scheduled SQL / Web API connectors.</w:t>
      </w:r>
    </w:p>
    <w:p>
      <w:pPr>
        <w:pStyle w:val="Heading3"/>
      </w:pPr>
      <w:r>
        <w:rPr>
          <w:b w:val="0"/>
          <w:i w:val="0"/>
        </w:rPr>
        <w:t>Reference Customers</w:t>
      </w:r>
    </w:p>
    <w:p>
      <w:pPr>
        <w:spacing w:before="0" w:after="120"/>
      </w:pPr>
      <w:r>
        <w:rPr>
          <w:b w:val="0"/>
          <w:i w:val="0"/>
        </w:rPr>
        <w:t>Kav AI is currently executing its third major inspection campaign at a Tier-1 industrial reference site. Reference calls with the lead Integrity / Reliability Engineer can be facilitated upon request for qualified enterprise buyers.</w:t>
      </w:r>
    </w:p>
    <w:p>
      <w:pPr>
        <w:pStyle w:val="Heading3"/>
      </w:pPr>
      <w:r>
        <w:rPr>
          <w:b w:val="0"/>
          <w:i w:val="0"/>
        </w:rPr>
        <w:t>Partner-led delivery channel</w:t>
      </w:r>
    </w:p>
    <w:p>
      <w:pPr>
        <w:spacing w:before="0" w:after="120"/>
      </w:pPr>
      <w:r>
        <w:rPr>
          <w:b w:val="0"/>
          <w:i w:val="0"/>
        </w:rPr>
        <w:t>Where the customer prefers an integrated delivery model — platform plus mechanical-integrity / reliability engineering services in a single procurement vehicle — Kav AI engages with qualified partners who provide the human Integrity / Reliability Engineer panel, failure-mechanism program work, and HITL validation. The Partner-Integrated Delivery Model section describes this channel in full.</w:t>
      </w:r>
    </w:p>
    <w:p>
      <w:pPr>
        <w:pStyle w:val="Heading1"/>
      </w:pPr>
      <w:r>
        <w:rPr>
          <w:b w:val="0"/>
          <w:i w:val="0"/>
        </w:rPr>
        <w:t>The Integrity Analytical Chain — Architectural Ownership</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Status: Roadmap.</w:t>
            </w:r>
            <w:r>
              <w:rPr>
                <w:rFonts w:ascii="Arial" w:hAnsi="Arial"/>
                <w:b/>
                <w:i w:val="0"/>
                <w:color w:val="1B3A6B"/>
                <w:sz w:val="22"/>
              </w:rPr>
              <w:t xml:space="preserve"> This section describes a planned capability. The</w:t>
            </w:r>
          </w:p>
          <w:p>
            <w:pPr>
              <w:spacing w:before="0" w:after="0"/>
            </w:pPr>
            <w:r>
              <w:rPr>
                <w:rFonts w:ascii="Arial" w:hAnsi="Arial"/>
                <w:b w:val="0"/>
                <w:i w:val="0"/>
                <w:color w:val="222222"/>
                <w:sz w:val="20"/>
              </w:rPr>
              <w:t>OPC UA / control-system connector, the OLW / FMR analytical chain, and all downstream stages that depend on operational-telemetry ingestion are roadmap items — no live control-system integration exists today. Target availability is Q4 2026; specific dates are directional and subject to revision.</w:t>
            </w:r>
          </w:p>
        </w:tc>
      </w:tr>
    </w:tbl>
    <w:p>
      <w:pPr>
        <w:spacing w:before="40" w:after="120"/>
      </w:pPr>
    </w:p>
    <w:p>
      <w:pPr>
        <w:spacing w:before="0" w:after="120"/>
      </w:pPr>
      <w:r>
        <w:rPr>
          <w:b w:val="0"/>
          <w:i w:val="0"/>
        </w:rPr>
        <w:t xml:space="preserve">The Operating-Limit / Failure-Mechanism (OLW / FMR — historically referred to in hydrocarbons as IOW / DMR) closed-loop analytical chain is planned as the core intelligence differentiator of the Kav AI platform from Q4 2026 onwards. This section defines its planned architecture, its owner, and the intended data flow from operational-data ingestion to actionable risk output. From v3.2 onwards the same chain is planned to be strengthened by robot patrol evidence, CAD-linked asset identity, and cross-source confirmation, while keeping the v2.9 architecture intact. v3.3 makes one further clarification: the cross-source correlation engine described in Expanded Capture &amp; Engineering Context will run </w:t>
      </w:r>
      <w:r>
        <w:rPr>
          <w:b w:val="0"/>
          <w:i/>
        </w:rPr>
        <w:t>before</w:t>
      </w:r>
      <w:r>
        <w:rPr>
          <w:b w:val="0"/>
          <w:i w:val="0"/>
        </w:rPr>
        <w:t xml:space="preserve"> Stage 3.5 and </w:t>
      </w:r>
      <w:r>
        <w:rPr>
          <w:b w:val="0"/>
          <w:i/>
        </w:rPr>
        <w:t>feed</w:t>
      </w:r>
      <w:r>
        <w:rPr>
          <w:b w:val="0"/>
          <w:i w:val="0"/>
        </w:rPr>
        <w:t xml:space="preserve"> the evidence-consistency check — it does not replace it.</w:t>
      </w:r>
    </w:p>
    <w:p>
      <w:pPr>
        <w:spacing w:before="160" w:after="80"/>
        <w:jc w:val="center"/>
      </w:pPr>
      <w:r>
        <w:drawing>
          <wp:inline>
            <wp:extent cx="5760720" cy="3909060"/>
            <wp:docPr id="6" name="Picture 6"/>
            <wp:cNvGraphicFramePr>
              <a:graphicFrameLocks noChangeAspect="1"/>
            </wp:cNvGraphicFramePr>
            <a:graphic>
              <a:graphicData uri="http://schemas.openxmlformats.org/drawingml/2006/picture">
                <pic:pic>
                  <pic:nvPicPr>
                    <pic:cNvPr id="0" name="l2_container_diagram.png"/>
                    <pic:cNvPicPr/>
                  </pic:nvPicPr>
                  <pic:blipFill>
                    <a:blip r:embed="rId16"/>
                    <a:stretch>
                      <a:fillRect/>
                    </a:stretch>
                  </pic:blipFill>
                  <pic:spPr>
                    <a:xfrm>
                      <a:off x="0" y="0"/>
                      <a:ext cx="5760720" cy="3909060"/>
                    </a:xfrm>
                    <a:prstGeom prst="rect"/>
                  </pic:spPr>
                </pic:pic>
              </a:graphicData>
            </a:graphic>
          </wp:inline>
        </w:drawing>
      </w:r>
    </w:p>
    <w:p>
      <w:pPr>
        <w:spacing w:before="40" w:after="160"/>
        <w:jc w:val="left"/>
      </w:pPr>
      <w:r>
        <w:rPr>
          <w:i/>
          <w:color w:val="666666"/>
          <w:sz w:val="19"/>
        </w:rPr>
        <w:t>Figure 5.  Kav AI Platform — Internal Architecture.  Shows how the AI analytical pipeline connects to operator data sources. Control system / historian (teal border, Q4) is a planned integration. From v3.2 onwards robot telemetry and CAD-derived engineering context are additional input layers into the same read-only intelligence architecture. v3.3 highlights the cross-source correlation engine as the explicit fan-in step ahead of Stage 3.5.</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Architectural owner (planned) The</w:t>
            </w:r>
          </w:p>
          <w:p>
            <w:pPr>
              <w:spacing w:before="0" w:after="0"/>
            </w:pPr>
            <w:r>
              <w:rPr>
                <w:rFonts w:ascii="Arial" w:hAnsi="Arial"/>
                <w:b w:val="0"/>
                <w:i w:val="0"/>
                <w:color w:val="222222"/>
                <w:sz w:val="20"/>
              </w:rPr>
              <w:t>OLW / FMR chain will be owned by Kav AI's data retrieval engine. It will be invoked automatically when control-system or historian data is present in the query context. The platform will sequence its execution across the six stages below; findings will be formatted for the operator interface.</w:t>
            </w:r>
          </w:p>
        </w:tc>
      </w:tr>
    </w:tbl>
    <w:p>
      <w:pPr>
        <w:spacing w:before="40" w:after="120"/>
      </w:pPr>
    </w:p>
    <w:p>
      <w:pPr>
        <w:spacing w:before="160" w:after="80"/>
        <w:jc w:val="center"/>
      </w:pPr>
      <w:r>
        <w:drawing>
          <wp:inline>
            <wp:extent cx="5760720" cy="493195"/>
            <wp:docPr id="7" name="Picture 7"/>
            <wp:cNvGraphicFramePr>
              <a:graphicFrameLocks noChangeAspect="1"/>
            </wp:cNvGraphicFramePr>
            <a:graphic>
              <a:graphicData uri="http://schemas.openxmlformats.org/drawingml/2006/picture">
                <pic:pic>
                  <pic:nvPicPr>
                    <pic:cNvPr id="0" name="mermaid_fig4.png"/>
                    <pic:cNvPicPr/>
                  </pic:nvPicPr>
                  <pic:blipFill>
                    <a:blip r:embed="rId17"/>
                    <a:stretch>
                      <a:fillRect/>
                    </a:stretch>
                  </pic:blipFill>
                  <pic:spPr>
                    <a:xfrm>
                      <a:off x="0" y="0"/>
                      <a:ext cx="5760720" cy="493195"/>
                    </a:xfrm>
                    <a:prstGeom prst="rect"/>
                  </pic:spPr>
                </pic:pic>
              </a:graphicData>
            </a:graphic>
          </wp:inline>
        </w:drawing>
      </w:r>
    </w:p>
    <w:p>
      <w:pPr>
        <w:spacing w:before="40" w:after="160"/>
        <w:jc w:val="left"/>
      </w:pPr>
      <w:r>
        <w:rPr>
          <w:i/>
          <w:color w:val="666666"/>
          <w:sz w:val="19"/>
        </w:rPr>
        <w:t>Figure 6.  OLW / FMR 6-Stage Analytical Pipeline.  The automated chain flows from raw operational telemetry to prioritized corrective action recommendations, with human-in-the-loop validation at Stage 4. v3.3 retains this structure and expands the evidence available at Stages 3.5–5, with cross-source correlation feeding the evidence-consistency check at Stage 3.5.</w:t>
      </w:r>
    </w:p>
    <w:p>
      <w:pPr>
        <w:pStyle w:val="Heading2"/>
      </w:pPr>
      <w:r>
        <w:rPr>
          <w:b w:val="0"/>
          <w:i w:val="0"/>
        </w:rPr>
        <w:t>The six-stage analytical chain (planned)</w:t>
      </w:r>
    </w:p>
    <w:p>
      <w:pPr>
        <w:spacing w:before="0" w:after="120"/>
      </w:pPr>
      <w:r>
        <w:rPr>
          <w:b w:val="0"/>
          <w:i w:val="0"/>
        </w:rPr>
        <w:t>The chain is designed to run from raw operational telemetry through to prioritized corrective action recommendations, benchmarked against an industry-appropriate reliability database (e.g., Solomon Associates for hydrocarbons; equivalent benchmarking for power, metals, pulp &amp; paper, and chemicals) at the risk quantification stage. The OPC UA / control-system connector required to feed Stage 1 is not yet in place; the stages below describe the target architecture.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872"/>
        <w:gridCol w:w="1872"/>
        <w:gridCol w:w="1872"/>
        <w:gridCol w:w="1872"/>
        <w:gridCol w:w="1872"/>
      </w:tblGrid>
      <w:tr>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Stage</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the agent does</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Data consumed</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Output</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ingestion &amp; QC</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Normalizes multi-source sensor streams via OPC UA. Applies statistical outlier detection and handling for control-system / historian failure modes: </w:t>
            </w:r>
            <w:r>
              <w:rPr>
                <w:rFonts w:ascii="Arial" w:hAnsi="Arial"/>
                <w:b/>
                <w:i w:val="0"/>
                <w:color w:val="111111"/>
                <w:sz w:val="20"/>
              </w:rPr>
              <w:t>stale values (frozen tags), engineering unit inconsistencies (base vs. scaled), and historian gaps (e.g., PI 'shutdown' vs. AVEVA 'null').</w:t>
            </w:r>
            <w:r>
              <w:rPr>
                <w:rFonts w:ascii="Arial" w:hAnsi="Arial"/>
                <w:b w:val="0"/>
                <w:i w:val="0"/>
                <w:color w:val="111111"/>
                <w:sz w:val="20"/>
              </w:rPr>
              <w:t xml:space="preserve"> Establishes timestamp synchronization within a </w:t>
            </w:r>
            <w:r>
              <w:rPr>
                <w:rFonts w:ascii="Arial" w:hAnsi="Arial"/>
                <w:b/>
                <w:i w:val="0"/>
                <w:color w:val="111111"/>
                <w:sz w:val="20"/>
              </w:rPr>
              <w:t>±500ms alignment window</w:t>
            </w:r>
            <w:r>
              <w:rPr>
                <w:rFonts w:ascii="Arial" w:hAnsi="Arial"/>
                <w:b w:val="0"/>
                <w:i w:val="0"/>
                <w:color w:val="111111"/>
                <w:sz w:val="20"/>
              </w:rPr>
              <w:t>.</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Control system, OPC UA historian, IoT sensors</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sensor record</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2</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Operating-limit classification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Compares validated readings against Operating-Limit Window definitions (industry-equivalent of API 584 IOWs). Categorizes exceedances as critical, standard, or informational. Scores by duration × intensity to prevent alarm fatigue.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sensor record, operating-limit database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Exceedance events with severity score</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Failure mechanism mapping</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Maps exceedance events to credible failure / damage mechanisms drawn from the industry-specific knowledge pack (API 571 for hydrocarbons; equivalent catalogs for power-cycle damage, refractory degradation in metals, recovery-boiler corrosion in pulp &amp; paper, etc.). </w:t>
            </w:r>
            <w:r>
              <w:rPr>
                <w:rFonts w:ascii="Arial" w:hAnsi="Arial"/>
                <w:b/>
                <w:i w:val="0"/>
                <w:color w:val="111111"/>
                <w:sz w:val="20"/>
              </w:rPr>
              <w:t>Establishes the 'Boundary of Automation': standard mechanisms (e.g., uniform corrosion, abrasion, common refractory wear patterns) are auto-flagged, while complex ones (e.g., HIC, NH₄Cl underdeposit, Creep, hydrogen attack on steels) trigger a mandatory engineer review.</w:t>
            </w:r>
            <w:r>
              <w:rPr>
                <w:rFonts w:ascii="Arial" w:hAnsi="Arial"/>
                <w:b w:val="0"/>
                <w:i w:val="0"/>
                <w:color w:val="111111"/>
                <w:sz w:val="20"/>
              </w:rPr>
              <w:t xml:space="preserve"> CAD-linked asset identity and material metadata are used where available to tighten mapping quality.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Exceedance events, industry mechanism knowledge pack, asset materials database, CAD / engineering metadata</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Failure mechanism map with predicted rate δ</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3.5</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Consistency gate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Three-way consistency check before physical validation: (1) Material-mechanism consistency — is the predicted mechanism physically plausible given the asset's material of construction and operating environment? (2) Rate-mechanism consistency — is the predicted degradation rate consistent with the predicted failure mechanism? (3) Evidence consistency — if physical validation data is available, does the visual evidence match what the predicted mechanism would produce? From v3.2 onwards, evidence consistency also considers cross-source corroboration across campaign, patrol, and operational-data evidence; v3.3 makes the cross-source correlation engine the explicit feeder for that input. Failures produce an explicit </w:t>
            </w:r>
            <w:r>
              <w:rPr>
                <w:rFonts w:ascii="Arial" w:hAnsi="Arial"/>
                <w:b/>
                <w:i w:val="0"/>
                <w:color w:val="111111"/>
                <w:sz w:val="20"/>
              </w:rPr>
              <w:t>"INCONSISTENT — ENGINEERING REVIEW REQUIRED"</w:t>
            </w:r>
            <w:r>
              <w:rPr>
                <w:rFonts w:ascii="Arial" w:hAnsi="Arial"/>
                <w:b w:val="0"/>
                <w:i w:val="0"/>
                <w:color w:val="111111"/>
                <w:sz w:val="20"/>
              </w:rPr>
              <w:t xml:space="preserve"> flag with the conflicting evidence surfaced to the engineer.</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Failure mechanism map, asset materials database, cross-source correlation output, available Stage 4 evidence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Consistency-validated failure mechanism map, or INCONSISTENT flag with conflicting evidence</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4</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Physical validation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Cross-references the failure mechanism map against physical inspection evidence: thickness measurements (UT or equivalent), thermal scans, specialty imagery, and robot-sourced patrol evidence. </w:t>
            </w:r>
            <w:r>
              <w:rPr>
                <w:rFonts w:ascii="Arial" w:hAnsi="Arial"/>
                <w:b/>
                <w:i w:val="0"/>
                <w:color w:val="111111"/>
                <w:sz w:val="20"/>
              </w:rPr>
              <w:t>Validates AI findings against ground-truth NDT measurements to calibrate model confidence.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3D inspection model, thickness / wear data, thermal scans, specialty imagery, robot thermal / acoustic / gas data</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damage assessment</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5</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Risk quantification &amp; remaining life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Applies the standard remaining life formula: RL = (tₓᴀᴄᴛ − tₘᴵⁿ) / RR (where RR is the degradation / wear rate). </w:t>
            </w:r>
            <w:r>
              <w:rPr>
                <w:rFonts w:ascii="Arial" w:hAnsi="Arial"/>
                <w:b/>
                <w:i w:val="0"/>
                <w:color w:val="111111"/>
                <w:sz w:val="20"/>
              </w:rPr>
              <w:t>Quantifies risk using the operator's chosen RBI methodology (API 581 in hydrocarbons; ISO 31000-aligned RBI methodologies in other sectors) and consequence categories.</w:t>
            </w:r>
            <w:r>
              <w:rPr>
                <w:rFonts w:ascii="Arial" w:hAnsi="Arial"/>
                <w:b w:val="0"/>
                <w:i w:val="0"/>
                <w:color w:val="111111"/>
                <w:sz w:val="20"/>
              </w:rPr>
              <w:t xml:space="preserve"> Propagates input uncertainty to provide P90 Remaining Life. </w:t>
            </w:r>
            <w:r>
              <w:rPr>
                <w:rFonts w:ascii="Arial" w:hAnsi="Arial"/>
                <w:b/>
                <w:i w:val="0"/>
                <w:color w:val="111111"/>
                <w:sz w:val="20"/>
              </w:rPr>
              <w:t>Extends to inspection interval calculation:</w:t>
            </w:r>
            <w:r>
              <w:rPr>
                <w:rFonts w:ascii="Arial" w:hAnsi="Arial"/>
                <w:b w:val="0"/>
                <w:i w:val="0"/>
                <w:color w:val="111111"/>
                <w:sz w:val="20"/>
              </w:rPr>
              <w:t xml:space="preserve"> recommended inspection interval = f(current PoF, target risk threshold, damage / wear factor, inspection effectiveness grade).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damage assessment, applicable RBI standards, industry benchmarking data</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Risk score (RBI-aligned), RL estimate with 90% CI, recommended inspection interval</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6</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Corrective action surfacing</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Generates prioritized inspection plans and recommended corrective actions (repair, replace, operational adjustment). All outputs are recommendations to a human operator — Kav AI never writes to the control system or issues work orders autonomously.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Risk scores, inspection backlog, operator confirmation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Prioritized inspection plan (see schema below)</w:t>
            </w:r>
          </w:p>
        </w:tc>
      </w:tr>
    </w:tbl>
    <w:p>
      <w:pPr>
        <w:spacing w:before="40" w:after="120"/>
      </w:pPr>
    </w:p>
    <w:p>
      <w:pPr>
        <w:spacing w:before="40" w:after="160"/>
        <w:jc w:val="left"/>
      </w:pPr>
      <w:r>
        <w:rPr>
          <w:i/>
          <w:color w:val="666666"/>
          <w:sz w:val="19"/>
        </w:rPr>
        <w:t>Roadmap: the OLW / FMR chain is targeted for availability from Q4 2026, contingent on delivery of the control-system / OPC UA connector — which is not yet implemented. Stages 4 and 5 will additionally require physical inspection data from the Kav AI 3D model, targeted for Q2 2026. v3.3 plans to extend those stages with repeat patrol evidence, fixed-infrastructure continuous coverage, and engineering-context enrichment where present.</w:t>
      </w:r>
    </w:p>
    <w:p>
      <w:pPr>
        <w:pStyle w:val="Heading3"/>
      </w:pPr>
      <w:r>
        <w:rPr>
          <w:b w:val="0"/>
          <w:i w:val="0"/>
        </w:rPr>
        <w:t>Inspection Plan Output Schema (FR-RBI-01) — planned</w:t>
      </w:r>
    </w:p>
    <w:p>
      <w:pPr>
        <w:spacing w:before="0" w:after="120"/>
      </w:pPr>
      <w:r>
        <w:rPr>
          <w:b w:val="0"/>
          <w:i w:val="0"/>
        </w:rPr>
        <w:t>The OLW / FMR chain is not designed to terminate at risk score generation. Stage 6 will produce an inspection plan — a prioritized, time-bound schedule. The minimum planned schema for a Kav AI inspection plan record: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Field</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Description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 ID, asset class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Facility asset identifier and equipment type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Current risk score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PoF × CoF per the operator's RBI methodology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inspection date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Driven by the applicable RBI inspection-interval logic</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technique &amp; coverage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Inspection effectiveness grade per the operator's standard</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Justification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Failure mechanism, operating-limit exceedance, or thickness / wear trend that drove the recommendation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Confidence level</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Data provenance (Level A/B/C degradation rate)</w:t>
            </w:r>
          </w:p>
        </w:tc>
      </w:tr>
    </w:tbl>
    <w:p>
      <w:pPr>
        <w:spacing w:before="40" w:after="120"/>
      </w:pPr>
    </w:p>
    <w:p>
      <w:pPr>
        <w:spacing w:before="40" w:after="160"/>
        <w:jc w:val="left"/>
      </w:pPr>
      <w:r>
        <w:rPr>
          <w:i/>
          <w:color w:val="666666"/>
          <w:sz w:val="19"/>
        </w:rPr>
        <w:t>This schema is to be agreed with the reference customer before the planned Q3 delivery and will govern the IDMS / EAM integration write interface.</w:t>
      </w:r>
    </w:p>
    <w:p>
      <w:pPr>
        <w:pStyle w:val="Heading3"/>
      </w:pPr>
      <w:r>
        <w:rPr>
          <w:b w:val="0"/>
          <w:i w:val="0"/>
        </w:rPr>
        <w:t>Equipment Class Boundary of Automation (FR-RBI-02) — planned</w:t>
      </w:r>
    </w:p>
    <w:p>
      <w:pPr>
        <w:spacing w:before="0" w:after="120"/>
      </w:pPr>
      <w:r>
        <w:rPr>
          <w:b w:val="0"/>
          <w:i w:val="0"/>
        </w:rPr>
        <w:t>The Tier 1 / Tier 2 automation boundary will apply across equipment classes as well as failure mechanisms. Scope for v1 is illustrative — the exact boundary will be configured per industry during onboarding (e.g., a steel facility would explicitly include refractory-lined equipment and exclude inline-pipeline assets):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Equipment class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scope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Rationale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Pressure vessels &amp; heat exchangers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RBI support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Primary M0/M1 asset class; most common operating-limit-linked equipment across industries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Piping circuits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RBI support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To be covered by the planned OPC UA control-system connector; thickness-monitored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Refractory-lined equipment (furnaces, kilns, ladles, etc.)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Industry-specific knowledge pack required (validated for metals, cement, glass)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Hot-face degradation reasoning differs from metallic-wall corrosion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Pressure Relief Devices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Flag only — engineer required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PRD-specific methodology; different consequence logic</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Atmospheric Storage Tanks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Flag only — engineer required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Tank floor inspection has unique methodology (e.g., API 653 for hydrocarbons; equivalent in other sectors)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Pipelines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Out of scope — v1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Requires inline inspection data (ILI); different data model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Rotating equipment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Out of scope — v1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Vibration-based RBI; different physics</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Equipment scope communication</w:t>
            </w:r>
          </w:p>
          <w:p>
            <w:pPr>
              <w:spacing w:before="0" w:after="0"/>
            </w:pPr>
            <w:r>
              <w:rPr>
                <w:rFonts w:ascii="Arial" w:hAnsi="Arial"/>
                <w:b w:val="0"/>
                <w:i w:val="0"/>
                <w:color w:val="222222"/>
                <w:sz w:val="20"/>
              </w:rPr>
              <w:t>This planned boundary must be communicated proactively to customers in the pilot framework (Appendix G). An operator who assumes Kav AI covers their tank farm or rotating-equipment fleet and discovers it doesn't during a pilot will not proceed.</w:t>
            </w:r>
          </w:p>
        </w:tc>
      </w:tr>
    </w:tbl>
    <w:p>
      <w:pPr>
        <w:spacing w:before="40" w:after="120"/>
      </w:pPr>
    </w:p>
    <w:p>
      <w:pPr>
        <w:pStyle w:val="Heading2"/>
      </w:pPr>
      <w:r>
        <w:rPr>
          <w:b w:val="0"/>
          <w:i w:val="0"/>
        </w:rPr>
        <w:t>Analytical Rigor — Confidence and Provenance (planned)</w:t>
      </w:r>
    </w:p>
    <w:p>
      <w:pPr>
        <w:spacing w:before="0" w:after="120"/>
      </w:pPr>
      <w:r>
        <w:rPr>
          <w:b w:val="0"/>
          <w:i w:val="0"/>
        </w:rPr>
        <w:t>To satisfy enterprise integrity / reliability standards, the planned analytical chain will not be treated as a "black box." Every safety-critical output will carry clear provenance and uncertainty bounds.</w:t>
      </w:r>
    </w:p>
    <w:p>
      <w:pPr>
        <w:pStyle w:val="Heading3"/>
      </w:pPr>
      <w:r>
        <w:rPr>
          <w:b w:val="0"/>
          <w:i w:val="0"/>
        </w:rPr>
        <w:t>Degradation / Wear Rate Provenance</w:t>
      </w:r>
    </w:p>
    <w:p>
      <w:pPr>
        <w:spacing w:before="0" w:after="120"/>
      </w:pPr>
      <w:r>
        <w:rPr>
          <w:b w:val="0"/>
          <w:i w:val="0"/>
        </w:rPr>
        <w:t>The platform will apply a weighted hierarchy to degradation-rate inputs, favoring measured data over theoretical models:</w:t>
      </w:r>
    </w:p>
    <w:p>
      <w:pPr>
        <w:spacing w:before="0" w:after="60"/>
        <w:ind w:left="504" w:hanging="288"/>
      </w:pPr>
      <w:r>
        <w:rPr>
          <w:b w:val="0"/>
        </w:rPr>
        <w:t xml:space="preserve">1.  </w:t>
      </w:r>
      <w:r>
        <w:rPr>
          <w:b/>
          <w:i w:val="0"/>
        </w:rPr>
        <w:t>Level A (Measured)</w:t>
      </w:r>
      <w:r>
        <w:rPr>
          <w:b w:val="0"/>
          <w:i w:val="0"/>
        </w:rPr>
        <w:t>: Derived from localized thickness / wear trend data at specific monitoring locations (CMLs in hydrocarbons; equivalent inspection points in other industries).</w:t>
      </w:r>
    </w:p>
    <w:p>
      <w:pPr>
        <w:spacing w:before="0" w:after="60"/>
        <w:ind w:left="504" w:hanging="288"/>
      </w:pPr>
      <w:r>
        <w:rPr>
          <w:b w:val="0"/>
        </w:rPr>
        <w:t xml:space="preserve">2.  </w:t>
      </w:r>
      <w:r>
        <w:rPr>
          <w:b/>
          <w:i w:val="0"/>
        </w:rPr>
        <w:t>Level B (Modelled)</w:t>
      </w:r>
      <w:r>
        <w:rPr>
          <w:b w:val="0"/>
          <w:i w:val="0"/>
        </w:rPr>
        <w:t>: Derived from process-specific degradation models (e.g., chemistry-driven corrosion, abrasion velocity, thermal-cycle fatigue), if measured data is stale (&gt;12 months) or unavailable.</w:t>
      </w:r>
    </w:p>
    <w:p>
      <w:pPr>
        <w:spacing w:before="0" w:after="60"/>
        <w:ind w:left="504" w:hanging="288"/>
      </w:pPr>
      <w:r>
        <w:rPr>
          <w:b w:val="0"/>
        </w:rPr>
        <w:t xml:space="preserve">3.  </w:t>
      </w:r>
      <w:r>
        <w:rPr>
          <w:b/>
          <w:i w:val="0"/>
        </w:rPr>
        <w:t>Level C (Generic)</w:t>
      </w:r>
      <w:r>
        <w:rPr>
          <w:b w:val="0"/>
          <w:i w:val="0"/>
        </w:rPr>
        <w:t>: Derived from the industry-specific knowledge pack for standard materials in nominal service.</w:t>
      </w:r>
    </w:p>
    <w:p>
      <w:pPr>
        <w:pStyle w:val="Heading3"/>
      </w:pPr>
      <w:r>
        <w:rPr>
          <w:b w:val="0"/>
          <w:i w:val="0"/>
        </w:rPr>
        <w:t>Uncertainty Quantification (UQ)</w:t>
      </w:r>
    </w:p>
    <w:p>
      <w:pPr>
        <w:spacing w:before="0" w:after="120"/>
      </w:pPr>
      <w:r>
        <w:rPr>
          <w:b w:val="0"/>
          <w:i w:val="0"/>
        </w:rPr>
        <w:t>Remaining Life (RL) estimates will not be presented as single-point figures. Kav AI is planned to propagate uncertainty across the entire analytical chain:</w:t>
      </w:r>
    </w:p>
    <w:p>
      <w:pPr>
        <w:spacing w:before="0" w:after="60"/>
        <w:ind w:left="504" w:hanging="288"/>
      </w:pPr>
      <w:r>
        <w:rPr>
          <w:b w:val="0"/>
        </w:rPr>
        <w:t xml:space="preserve">•  </w:t>
      </w:r>
      <w:r>
        <w:rPr>
          <w:b/>
          <w:i w:val="0"/>
        </w:rPr>
        <w:t>Measurement Tolerance</w:t>
      </w:r>
      <w:r>
        <w:rPr>
          <w:b w:val="0"/>
          <w:i w:val="0"/>
        </w:rPr>
        <w:t>: Thickness / wear measurements (</w:t>
      </w:r>
      <w:r>
        <w:rPr>
          <w:b/>
          <w:i w:val="0"/>
        </w:rPr>
        <w:t>tₓᴀᴄᴛ</w:t>
      </w:r>
      <w:r>
        <w:rPr>
          <w:b w:val="0"/>
          <w:i w:val="0"/>
        </w:rPr>
        <w:t>) carry a tolerance based on technique and surface condition (e.g., ±0.1–0.5 mm for UT).</w:t>
      </w:r>
    </w:p>
    <w:p>
      <w:pPr>
        <w:spacing w:before="0" w:after="60"/>
        <w:ind w:left="504" w:hanging="288"/>
      </w:pPr>
      <w:r>
        <w:rPr>
          <w:b w:val="0"/>
        </w:rPr>
        <w:t xml:space="preserve">•  </w:t>
      </w:r>
      <w:r>
        <w:rPr>
          <w:b/>
          <w:i w:val="0"/>
        </w:rPr>
        <w:t>Engineering Code Variance</w:t>
      </w:r>
      <w:r>
        <w:rPr>
          <w:b w:val="0"/>
          <w:i w:val="0"/>
        </w:rPr>
        <w:t>: Minimum thickness (</w:t>
      </w:r>
      <w:r>
        <w:rPr>
          <w:b/>
          <w:i w:val="0"/>
        </w:rPr>
        <w:t>tₘᴵⁿ</w:t>
      </w:r>
      <w:r>
        <w:rPr>
          <w:b w:val="0"/>
          <w:i w:val="0"/>
        </w:rPr>
        <w:t>) is calculated per the applicable design / inspection code (e.g., ASME B31.3 / API 570 for hydrocarbons; EN-equivalent or industry-specific codes elsewhere).</w:t>
      </w:r>
    </w:p>
    <w:p>
      <w:pPr>
        <w:spacing w:before="0" w:after="60"/>
        <w:ind w:left="504" w:hanging="288"/>
      </w:pPr>
      <w:r>
        <w:rPr>
          <w:b w:val="0"/>
        </w:rPr>
        <w:t xml:space="preserve">•  </w:t>
      </w:r>
      <w:r>
        <w:rPr>
          <w:b/>
          <w:i w:val="0"/>
        </w:rPr>
        <w:t>Model Variance</w:t>
      </w:r>
      <w:r>
        <w:rPr>
          <w:b w:val="0"/>
          <w:i w:val="0"/>
        </w:rPr>
        <w:t>: Degradation Rate (</w:t>
      </w:r>
      <w:r>
        <w:rPr>
          <w:b/>
          <w:i w:val="0"/>
        </w:rPr>
        <w:t>RR</w:t>
      </w:r>
      <w:r>
        <w:rPr>
          <w:b w:val="0"/>
          <w:i w:val="0"/>
        </w:rPr>
        <w:t>) uncertainty varies by provenance (Level A/B/C).</w:t>
      </w:r>
    </w:p>
    <w:p>
      <w:pPr>
        <w:spacing w:before="0" w:after="60"/>
        <w:ind w:left="504" w:hanging="288"/>
      </w:pPr>
      <w:r>
        <w:rPr>
          <w:b w:val="0"/>
        </w:rPr>
        <w:t xml:space="preserve">•  </w:t>
      </w:r>
      <w:r>
        <w:rPr>
          <w:b/>
          <w:i w:val="0"/>
        </w:rPr>
        <w:t>Output</w:t>
      </w:r>
      <w:r>
        <w:rPr>
          <w:b w:val="0"/>
          <w:i w:val="0"/>
        </w:rPr>
        <w:t xml:space="preserve">: </w:t>
      </w:r>
      <w:r>
        <w:rPr>
          <w:b/>
          <w:i w:val="0"/>
        </w:rPr>
        <w:t>P90 Remaining Life</w:t>
      </w:r>
      <w:r>
        <w:rPr>
          <w:b w:val="0"/>
          <w:i w:val="0"/>
        </w:rPr>
        <w:t xml:space="preserve"> is the probabilistic interval used for inspection interval determination.</w:t>
      </w:r>
    </w:p>
    <w:p>
      <w:pPr>
        <w:pStyle w:val="Heading3"/>
      </w:pPr>
      <w:r>
        <w:rPr>
          <w:b w:val="0"/>
          <w:i w:val="0"/>
        </w:rPr>
        <w:t>Timestamp Integrity and Windowing</w:t>
      </w:r>
    </w:p>
    <w:p>
      <w:pPr>
        <w:spacing w:before="0" w:after="120"/>
      </w:pPr>
      <w:r>
        <w:rPr>
          <w:b w:val="0"/>
          <w:i w:val="0"/>
        </w:rPr>
        <w:t xml:space="preserve">Correlation across heterogeneous sources (control-system scan vs. event-driven historians) will be governed by a </w:t>
      </w:r>
      <w:r>
        <w:rPr>
          <w:b/>
          <w:i w:val="0"/>
        </w:rPr>
        <w:t>±500ms synchronization window</w:t>
      </w:r>
      <w:r>
        <w:rPr>
          <w:b w:val="0"/>
          <w:i w:val="0"/>
        </w:rPr>
        <w:t>.</w:t>
      </w:r>
    </w:p>
    <w:p>
      <w:pPr>
        <w:spacing w:before="0" w:after="60"/>
        <w:ind w:left="504" w:hanging="288"/>
      </w:pPr>
      <w:r>
        <w:rPr>
          <w:b w:val="0"/>
        </w:rPr>
        <w:t xml:space="preserve">•  </w:t>
      </w:r>
      <w:r>
        <w:rPr>
          <w:b w:val="0"/>
          <w:i w:val="0"/>
        </w:rPr>
        <w:t>Values exceeding this window or sourced from interpolated historian gaps will be flagged as "Stale/High Variance" and reduced in weight for Stage 3-5 reasoning.</w:t>
      </w:r>
    </w:p>
    <w:p>
      <w:pPr>
        <w:spacing w:before="0" w:after="60"/>
        <w:ind w:left="504" w:hanging="288"/>
      </w:pPr>
      <w:r>
        <w:rPr>
          <w:b w:val="0"/>
        </w:rPr>
        <w:t xml:space="preserve">•  </w:t>
      </w:r>
      <w:r>
        <w:rPr>
          <w:b w:val="0"/>
          <w:i w:val="0"/>
        </w:rPr>
        <w:t>Kav AI is planned to support NTP/PTP-synchronized sources to maintain sub-second alignment in millisecond-sensitive environments.</w:t>
      </w:r>
    </w:p>
    <w:p>
      <w:pPr>
        <w:pStyle w:val="Heading3"/>
      </w:pPr>
      <w:r>
        <w:rPr>
          <w:b w:val="0"/>
          <w:i w:val="0"/>
        </w:rPr>
        <w:t>Boundary of Automation — Expert-in-the-Loop</w:t>
      </w:r>
    </w:p>
    <w:p>
      <w:pPr>
        <w:spacing w:before="0" w:after="120"/>
      </w:pPr>
      <w:r>
        <w:rPr>
          <w:b w:val="0"/>
          <w:i w:val="0"/>
        </w:rPr>
        <w:t>Not all failure mechanisms are equally detectable via process telemetry. Kav AI will maintain a strict boundary:</w:t>
      </w:r>
    </w:p>
    <w:p>
      <w:pPr>
        <w:spacing w:before="0" w:after="60"/>
        <w:ind w:left="504" w:hanging="288"/>
      </w:pPr>
      <w:r>
        <w:rPr>
          <w:b w:val="0"/>
        </w:rPr>
        <w:t xml:space="preserve">•  </w:t>
      </w:r>
      <w:r>
        <w:rPr>
          <w:b/>
          <w:i w:val="0"/>
        </w:rPr>
        <w:t>Tier 1 (Automated)</w:t>
      </w:r>
      <w:r>
        <w:rPr>
          <w:b w:val="0"/>
          <w:i w:val="0"/>
        </w:rPr>
        <w:t>: Mechanisms with high process correlation (e.g., insulation-related thermal anomalies, refractory hot-spots, abrasion at known transfer points, chemistry-driven corrosion).</w:t>
      </w:r>
    </w:p>
    <w:p>
      <w:pPr>
        <w:spacing w:before="0" w:after="60"/>
        <w:ind w:left="504" w:hanging="288"/>
      </w:pPr>
      <w:r>
        <w:rPr>
          <w:b w:val="0"/>
        </w:rPr>
        <w:t xml:space="preserve">•  </w:t>
      </w:r>
      <w:r>
        <w:rPr>
          <w:b/>
          <w:i w:val="0"/>
        </w:rPr>
        <w:t>Tier 2 (Expert Required)</w:t>
      </w:r>
      <w:r>
        <w:rPr>
          <w:b w:val="0"/>
          <w:i w:val="0"/>
        </w:rPr>
        <w:t>: Mechanisms requiring thermodynamic simulation or historical thermal-fatigue analysis (e.g., NH₄Cl underdeposit, Creep, HIC, complex hydrogen-related degradation in steels). These are flagged as "Credible" by the AI but require manual engineer validation before inclusion in the Risk Quantification stage.</w:t>
      </w:r>
    </w:p>
    <w:p>
      <w:pPr>
        <w:pStyle w:val="Heading3"/>
      </w:pPr>
      <w:r>
        <w:rPr>
          <w:b w:val="0"/>
          <w:i w:val="0"/>
        </w:rPr>
        <w:t>Monitoring Location Lifecycle Management</w:t>
      </w:r>
    </w:p>
    <w:p>
      <w:pPr>
        <w:spacing w:before="0" w:after="120"/>
      </w:pPr>
      <w:r>
        <w:rPr>
          <w:b w:val="0"/>
          <w:i w:val="0"/>
        </w:rPr>
        <w:t>The 3D facility model is planned as the spatial system of record for inspection / monitoring locations (CMLs and PILs in hydrocarbons; equivalent inspection points in other sectors).</w:t>
      </w:r>
    </w:p>
    <w:p>
      <w:pPr>
        <w:spacing w:before="0" w:after="60"/>
        <w:ind w:left="504" w:hanging="288"/>
      </w:pPr>
      <w:r>
        <w:rPr>
          <w:b w:val="0"/>
        </w:rPr>
        <w:t xml:space="preserve">•  </w:t>
      </w:r>
      <w:r>
        <w:rPr>
          <w:b/>
          <w:i w:val="0"/>
        </w:rPr>
        <w:t>Registration</w:t>
      </w:r>
      <w:r>
        <w:rPr>
          <w:b w:val="0"/>
          <w:i w:val="0"/>
        </w:rPr>
        <w:t>: Operators will be able to register and name monitoring locations in 3D space with sub-centimeter precision.</w:t>
      </w:r>
    </w:p>
    <w:p>
      <w:pPr>
        <w:spacing w:before="0" w:after="60"/>
        <w:ind w:left="504" w:hanging="288"/>
      </w:pPr>
      <w:r>
        <w:rPr>
          <w:b w:val="0"/>
        </w:rPr>
        <w:t xml:space="preserve">•  </w:t>
      </w:r>
      <w:r>
        <w:rPr>
          <w:b/>
          <w:i w:val="0"/>
        </w:rPr>
        <w:t>Traceable History</w:t>
      </w:r>
      <w:r>
        <w:rPr>
          <w:b w:val="0"/>
          <w:i w:val="0"/>
        </w:rPr>
        <w:t>: Each location will maintain an immutable, timestamped history of measurements, including inspector ID and instrument calibration references.</w:t>
      </w:r>
    </w:p>
    <w:p>
      <w:pPr>
        <w:spacing w:before="0" w:after="60"/>
        <w:ind w:left="504" w:hanging="288"/>
      </w:pPr>
      <w:r>
        <w:rPr>
          <w:b w:val="0"/>
        </w:rPr>
        <w:t xml:space="preserve">•  </w:t>
      </w:r>
      <w:r>
        <w:rPr>
          <w:b/>
          <w:i w:val="0"/>
        </w:rPr>
        <w:t>Coverage Reporting</w:t>
      </w:r>
      <w:r>
        <w:rPr>
          <w:b w:val="0"/>
          <w:i w:val="0"/>
        </w:rPr>
        <w:t>: The platform will generate compliance reports identifying inspected vs. overdue locations per the active inspection plan.</w:t>
      </w:r>
    </w:p>
    <w:p>
      <w:pPr>
        <w:spacing w:before="0" w:after="60"/>
        <w:ind w:left="504" w:hanging="288"/>
      </w:pPr>
      <w:r>
        <w:rPr>
          <w:b w:val="0"/>
        </w:rPr>
        <w:t xml:space="preserve">•  </w:t>
      </w:r>
      <w:r>
        <w:rPr>
          <w:b/>
          <w:i w:val="0"/>
        </w:rPr>
        <w:t>Visual Context</w:t>
      </w:r>
      <w:r>
        <w:rPr>
          <w:b w:val="0"/>
          <w:i w:val="0"/>
        </w:rPr>
        <w:t>: Click any location to view its historical trend, operating-limit exceedance logs, and the resulting failure mechanism predictions.</w:t>
      </w:r>
    </w:p>
    <w:p>
      <w:pPr>
        <w:spacing w:before="0" w:after="60"/>
        <w:ind w:left="504" w:hanging="288"/>
      </w:pPr>
      <w:r>
        <w:rPr>
          <w:b w:val="0"/>
        </w:rPr>
        <w:t xml:space="preserve">•  </w:t>
      </w:r>
      <w:r>
        <w:rPr>
          <w:b/>
          <w:i w:val="0"/>
        </w:rPr>
        <w:t>Engineering Context</w:t>
      </w:r>
      <w:r>
        <w:rPr>
          <w:b w:val="0"/>
          <w:i w:val="0"/>
        </w:rPr>
        <w:t>: Where CAD / P&amp;ID mappings are available, the same view will also carry design tag, line / equipment number, and recent engineering change history.</w:t>
      </w:r>
    </w:p>
    <w:p>
      <w:pPr>
        <w:pStyle w:val="Heading2"/>
      </w:pPr>
      <w:r>
        <w:rPr>
          <w:b w:val="0"/>
          <w:i w:val="0"/>
        </w:rPr>
        <w:t>Risk Quantification Methodology — RBI Alignment (planned)</w:t>
      </w:r>
    </w:p>
    <w:p>
      <w:pPr>
        <w:spacing w:before="0" w:after="120"/>
      </w:pPr>
      <w:r>
        <w:rPr>
          <w:b w:val="0"/>
          <w:i w:val="0"/>
        </w:rPr>
        <w:t xml:space="preserve">Kav AI's planned risk engine will be structured for alignment with the operator's chosen Risk-Based Inspection (RBI) methodology — for example, </w:t>
      </w:r>
      <w:r>
        <w:rPr>
          <w:b/>
          <w:i w:val="0"/>
        </w:rPr>
        <w:t>API 580/581</w:t>
      </w:r>
      <w:r>
        <w:rPr>
          <w:b w:val="0"/>
          <w:i w:val="0"/>
        </w:rPr>
        <w:t xml:space="preserve"> in hydrocarbons, ISO 31000-aligned methodologies in other sectors, or sector-specific equivalents in power and metals — to ensure regulatory and insurance defensibility.</w:t>
      </w:r>
    </w:p>
    <w:p>
      <w:pPr>
        <w:pStyle w:val="Heading3"/>
      </w:pPr>
      <w:r>
        <w:rPr>
          <w:b w:val="0"/>
          <w:i w:val="0"/>
        </w:rPr>
        <w:t>Probability of Failure (PoF)</w:t>
      </w:r>
    </w:p>
    <w:p>
      <w:pPr>
        <w:spacing w:before="0" w:after="120"/>
      </w:pPr>
      <w:r>
        <w:rPr>
          <w:b w:val="0"/>
          <w:i w:val="0"/>
        </w:rPr>
        <w:t>The platform will calculate PoF using a Damage / Wear Factor approach consistent with the operator's RBI methodology. This is planned to include:</w:t>
      </w:r>
    </w:p>
    <w:p>
      <w:pPr>
        <w:spacing w:before="0" w:after="60"/>
        <w:ind w:left="504" w:hanging="288"/>
      </w:pPr>
      <w:r>
        <w:rPr>
          <w:b w:val="0"/>
        </w:rPr>
        <w:t xml:space="preserve">•  </w:t>
      </w:r>
      <w:r>
        <w:rPr>
          <w:b/>
          <w:i w:val="0"/>
        </w:rPr>
        <w:t>Base Damage / Wear Factor</w:t>
      </w:r>
      <w:r>
        <w:rPr>
          <w:b w:val="0"/>
          <w:i w:val="0"/>
        </w:rPr>
        <w:t>: Derived from the active failure mechanism (industry knowledge pack) and predicted degradation.</w:t>
      </w:r>
    </w:p>
    <w:p>
      <w:pPr>
        <w:spacing w:before="0" w:after="60"/>
        <w:ind w:left="504" w:hanging="288"/>
      </w:pPr>
      <w:r>
        <w:rPr>
          <w:b w:val="0"/>
        </w:rPr>
        <w:t xml:space="preserve">•  </w:t>
      </w:r>
      <w:r>
        <w:rPr>
          <w:b/>
          <w:i w:val="0"/>
        </w:rPr>
        <w:t>Inspection Effectiveness</w:t>
      </w:r>
      <w:r>
        <w:rPr>
          <w:b w:val="0"/>
          <w:i w:val="0"/>
        </w:rPr>
        <w:t>: Adjustments based on the number and quality of past NDT / inspection events.</w:t>
      </w:r>
    </w:p>
    <w:p>
      <w:pPr>
        <w:spacing w:before="0" w:after="60"/>
        <w:ind w:left="504" w:hanging="288"/>
      </w:pPr>
      <w:r>
        <w:rPr>
          <w:b w:val="0"/>
        </w:rPr>
        <w:t xml:space="preserve">•  </w:t>
      </w:r>
      <w:r>
        <w:rPr>
          <w:b/>
          <w:i w:val="0"/>
        </w:rPr>
        <w:t>Management System Factor</w:t>
      </w:r>
      <w:r>
        <w:rPr>
          <w:b w:val="0"/>
          <w:i w:val="0"/>
        </w:rPr>
        <w:t>: Facility-specific multiplier for operational discipline.</w:t>
      </w:r>
    </w:p>
    <w:p>
      <w:pPr>
        <w:pStyle w:val="Heading3"/>
      </w:pPr>
      <w:r>
        <w:rPr>
          <w:b w:val="0"/>
          <w:i w:val="0"/>
        </w:rPr>
        <w:t>Consequence of Failure (CoF)</w:t>
      </w:r>
    </w:p>
    <w:p>
      <w:pPr>
        <w:spacing w:before="0" w:after="120"/>
      </w:pPr>
      <w:r>
        <w:rPr>
          <w:b w:val="0"/>
          <w:i w:val="0"/>
        </w:rPr>
        <w:t>CoF will be categorized into the streams relevant to the operator's industry. Typical streams across heavy industry:</w:t>
      </w:r>
    </w:p>
    <w:p>
      <w:pPr>
        <w:spacing w:before="0" w:after="60"/>
        <w:ind w:left="504" w:hanging="288"/>
      </w:pPr>
      <w:r>
        <w:rPr>
          <w:b w:val="0"/>
        </w:rPr>
        <w:t xml:space="preserve">1.  </w:t>
      </w:r>
      <w:r>
        <w:rPr>
          <w:b/>
          <w:i w:val="0"/>
        </w:rPr>
        <w:t>Safety / personnel</w:t>
      </w:r>
      <w:r>
        <w:rPr>
          <w:b w:val="0"/>
          <w:i w:val="0"/>
        </w:rPr>
        <w:t>: Burn, blast, asphyxiation, falling-object exposure.</w:t>
      </w:r>
    </w:p>
    <w:p>
      <w:pPr>
        <w:spacing w:before="0" w:after="60"/>
        <w:ind w:left="504" w:hanging="288"/>
      </w:pPr>
      <w:r>
        <w:rPr>
          <w:b w:val="0"/>
        </w:rPr>
        <w:t xml:space="preserve">2.  </w:t>
      </w:r>
      <w:r>
        <w:rPr>
          <w:b/>
          <w:i w:val="0"/>
        </w:rPr>
        <w:t>Process release</w:t>
      </w:r>
      <w:r>
        <w:rPr>
          <w:b w:val="0"/>
          <w:i w:val="0"/>
        </w:rPr>
        <w:t>: Fire / explosion, toxic / hot / molten release as applicable.</w:t>
      </w:r>
    </w:p>
    <w:p>
      <w:pPr>
        <w:spacing w:before="0" w:after="60"/>
        <w:ind w:left="504" w:hanging="288"/>
      </w:pPr>
      <w:r>
        <w:rPr>
          <w:b w:val="0"/>
        </w:rPr>
        <w:t xml:space="preserve">3.  </w:t>
      </w:r>
      <w:r>
        <w:rPr>
          <w:b/>
          <w:i w:val="0"/>
        </w:rPr>
        <w:t>Environmental</w:t>
      </w:r>
      <w:r>
        <w:rPr>
          <w:b w:val="0"/>
          <w:i w:val="0"/>
        </w:rPr>
        <w:t>: Volume- or mass-based release into soil, water, or air.</w:t>
      </w:r>
    </w:p>
    <w:p>
      <w:pPr>
        <w:spacing w:before="0" w:after="60"/>
        <w:ind w:left="504" w:hanging="288"/>
      </w:pPr>
      <w:r>
        <w:rPr>
          <w:b w:val="0"/>
        </w:rPr>
        <w:t xml:space="preserve">4.  </w:t>
      </w:r>
      <w:r>
        <w:rPr>
          <w:b/>
          <w:i w:val="0"/>
        </w:rPr>
        <w:t>Financial</w:t>
      </w:r>
      <w:r>
        <w:rPr>
          <w:b w:val="0"/>
          <w:i w:val="0"/>
        </w:rPr>
        <w:t>: Production loss and repair costs, benchmarked against the operator's chosen reliability benchmarking framework.</w:t>
      </w:r>
    </w:p>
    <w:p>
      <w:pPr>
        <w:pStyle w:val="Heading3"/>
      </w:pPr>
      <w:r>
        <w:rPr>
          <w:b w:val="0"/>
          <w:i w:val="0"/>
        </w:rPr>
        <w:t>Ranked-to-Calibrated Transition</w:t>
      </w:r>
    </w:p>
    <w:p>
      <w:pPr>
        <w:spacing w:before="0" w:after="120"/>
      </w:pPr>
      <w:r>
        <w:rPr>
          <w:b w:val="0"/>
          <w:i w:val="0"/>
        </w:rPr>
        <w:t xml:space="preserve">During the planned initial deployment and pilot phase (90 days), risk outputs will be presented as </w:t>
      </w:r>
      <w:r>
        <w:rPr>
          <w:b/>
          <w:i w:val="0"/>
        </w:rPr>
        <w:t>Relative Risk Rankings</w:t>
      </w:r>
      <w:r>
        <w:rPr>
          <w:b w:val="0"/>
          <w:i w:val="0"/>
        </w:rPr>
        <w:t xml:space="preserve"> for prioritization. Full </w:t>
      </w:r>
      <w:r>
        <w:rPr>
          <w:b/>
          <w:i w:val="0"/>
        </w:rPr>
        <w:t>Calibrated Probability of Failure</w:t>
      </w:r>
      <w:r>
        <w:rPr>
          <w:b w:val="0"/>
          <w:i w:val="0"/>
        </w:rPr>
        <w:t xml:space="preserve"> (mapping scores to physical failure frequencies) will be achieved after the first ground-truth inspection cycle is ingested and the model is site-validated. The transition will be triggered by a minimum dataset: a defined number of measurements at registered monitoring locations with known inspection history, agreed with the operator during pilot onboarding.</w:t>
      </w:r>
    </w:p>
    <w:p>
      <w:pPr>
        <w:pStyle w:val="Heading1"/>
      </w:pPr>
      <w:r>
        <w:rPr>
          <w:b w:val="0"/>
          <w:i w:val="0"/>
        </w:rPr>
        <w:t>AI Safety — Hallucination Mitigation &amp; Grounding</w:t>
      </w:r>
    </w:p>
    <w:p>
      <w:pPr>
        <w:spacing w:before="0" w:after="120"/>
      </w:pPr>
      <w:r>
        <w:rPr>
          <w:b w:val="0"/>
          <w:i w:val="0"/>
        </w:rPr>
        <w:t xml:space="preserve">Given the safety-critical nature of asset integrity, the Kav AI analytical chain (operating-limit / failure-mechanism) includes specific safeguards to mitigate AI hallucinations and ensure engineering-grade reliability. v3.2 kept the v2.9 safety model intact and extended it to handle cross-source correlation, robot patrol evidence, and high-regulation operating constraints without weakening the original guardrails. v3.3 keeps these safeguards unchanged and clarifies their priority order: </w:t>
      </w:r>
      <w:r>
        <w:rPr>
          <w:b/>
          <w:i w:val="0"/>
        </w:rPr>
        <w:t>Filter Skill &gt; Stage 3.5 consistency gate &gt; cross-source correlation uplift</w:t>
      </w:r>
      <w:r>
        <w:rPr>
          <w:b w:val="0"/>
          <w:i w:val="0"/>
        </w:rPr>
        <w:t>. A multi-source confirmed finding can shorten the operator queue, but it cannot promote a Filter-rejected mechanism or override an INCONSISTENT flag.</w:t>
      </w:r>
    </w:p>
    <w:p>
      <w:pPr>
        <w:pStyle w:val="Heading2"/>
      </w:pPr>
      <w:r>
        <w:rPr>
          <w:b w:val="0"/>
          <w:i w:val="0"/>
        </w:rPr>
        <w:t>Grounding via Deterministic "Filter Skills"</w:t>
      </w:r>
    </w:p>
    <w:p>
      <w:pPr>
        <w:spacing w:before="0" w:after="120"/>
      </w:pPr>
      <w:r>
        <w:rPr>
          <w:b w:val="0"/>
          <w:i w:val="0"/>
        </w:rPr>
        <w:t>To eliminate LLM hallucinations in the IOW/DMR chain, every AI output is passed through a deterministic validation layer before it reaches the operator:</w:t>
      </w:r>
    </w:p>
    <w:p>
      <w:pPr>
        <w:spacing w:before="0" w:after="60"/>
        <w:ind w:left="504" w:hanging="288"/>
      </w:pPr>
      <w:r>
        <w:rPr>
          <w:b w:val="0"/>
        </w:rPr>
        <w:t xml:space="preserve">•  </w:t>
      </w:r>
      <w:r>
        <w:rPr>
          <w:b/>
          <w:i w:val="0"/>
        </w:rPr>
        <w:t>Susceptibility Filtering</w:t>
      </w:r>
      <w:r>
        <w:rPr>
          <w:b w:val="0"/>
          <w:i w:val="0"/>
        </w:rPr>
        <w:t>: Before a failure mechanism (Stage 3) is presented to the user, a "Filter Skill" checks the asset material and process conditions against a hard-coded susceptibility matrix from the industry-specific knowledge pack (e.g., API 571 for hydrocarbons; equivalent catalogs for power-cycle, refractory, abrasion, and other industrial degradation modes).</w:t>
      </w:r>
    </w:p>
    <w:p>
      <w:pPr>
        <w:spacing w:before="0" w:after="60"/>
        <w:ind w:left="504" w:hanging="288"/>
      </w:pPr>
      <w:r>
        <w:rPr>
          <w:b w:val="0"/>
        </w:rPr>
        <w:t xml:space="preserve">•  </w:t>
      </w:r>
      <w:r>
        <w:rPr>
          <w:b/>
          <w:i w:val="0"/>
        </w:rPr>
        <w:t>Schema Validation</w:t>
      </w:r>
      <w:r>
        <w:rPr>
          <w:b w:val="0"/>
          <w:i w:val="0"/>
        </w:rPr>
        <w:t>: Outputs are constrained to structured JSON schemas; any "hallucinated" fields or out-of-range values trigger a re-generation or a "Low Confidence" flag.</w:t>
      </w:r>
    </w:p>
    <w:p>
      <w:pPr>
        <w:pStyle w:val="Heading3"/>
      </w:pPr>
      <w:r>
        <w:rPr>
          <w:b w:val="0"/>
          <w:i w:val="0"/>
        </w:rPr>
        <w:t>Filter Skill Performance Targets (FR-AI-01)</w:t>
      </w:r>
    </w:p>
    <w:p>
      <w:pPr>
        <w:spacing w:before="0" w:after="60"/>
        <w:ind w:left="504" w:hanging="288"/>
      </w:pPr>
      <w:r>
        <w:rPr>
          <w:b w:val="0"/>
        </w:rPr>
        <w:t xml:space="preserve">•  </w:t>
      </w:r>
      <w:r>
        <w:rPr>
          <w:b/>
          <w:i w:val="0"/>
        </w:rPr>
        <w:t>False Positive Rate (FPR)</w:t>
      </w:r>
      <w:r>
        <w:rPr>
          <w:b w:val="0"/>
          <w:i w:val="0"/>
        </w:rPr>
        <w:t>: The rate at which the LLM suggests a failure mechanism that the Filter Skill correctly rejects. Documented across M0/M1 validation data.</w:t>
      </w:r>
    </w:p>
    <w:p>
      <w:pPr>
        <w:spacing w:before="0" w:after="60"/>
        <w:ind w:left="504" w:hanging="288"/>
      </w:pPr>
      <w:r>
        <w:rPr>
          <w:b w:val="0"/>
        </w:rPr>
        <w:t xml:space="preserve">•  </w:t>
      </w:r>
      <w:r>
        <w:rPr>
          <w:b/>
          <w:i w:val="0"/>
        </w:rPr>
        <w:t>False Negative Rate (FNR)</w:t>
      </w:r>
      <w:r>
        <w:rPr>
          <w:b w:val="0"/>
          <w:i w:val="0"/>
        </w:rPr>
        <w:t>: The rate at which the LLM suggests a plausible-but-incorrect mechanism that the Filter Skill fails to catch. Measured via ground-truth labeling by an integrity / reliability engineer panel. The FR-ANO-02 spike objective (&gt;90% agreement with human engineer panel) applies to the full chain including Filter Skills, not just to the LLM output pre-filtering.</w:t>
      </w:r>
    </w:p>
    <w:p>
      <w:pPr>
        <w:spacing w:before="0" w:after="60"/>
        <w:ind w:left="504" w:hanging="288"/>
      </w:pPr>
      <w:r>
        <w:rPr>
          <w:b w:val="0"/>
        </w:rPr>
        <w:t xml:space="preserve">•  </w:t>
      </w:r>
      <w:r>
        <w:rPr>
          <w:b/>
          <w:i w:val="0"/>
        </w:rPr>
        <w:t>Re-evaluation cadence</w:t>
      </w:r>
      <w:r>
        <w:rPr>
          <w:b w:val="0"/>
          <w:i w:val="0"/>
        </w:rPr>
        <w:t>: Filter Skill performance is re-evaluated after every new inspection campaign, since each campaign expands the input distribution.</w:t>
      </w:r>
    </w:p>
    <w:p>
      <w:pPr>
        <w:pStyle w:val="Heading2"/>
      </w:pPr>
      <w:r>
        <w:rPr>
          <w:b w:val="0"/>
          <w:i w:val="0"/>
        </w:rPr>
        <w:t>Confidence Scoring and Calibration</w:t>
      </w:r>
    </w:p>
    <w:p>
      <w:pPr>
        <w:spacing w:before="0" w:after="120"/>
      </w:pPr>
      <w:r>
        <w:rPr>
          <w:b w:val="0"/>
          <w:i w:val="0"/>
        </w:rPr>
        <w:t>Kav AI provides a 0.0–1.0 confidence score for every AI-generated output (mapping, detection, recommendation):</w:t>
      </w:r>
    </w:p>
    <w:p>
      <w:pPr>
        <w:spacing w:before="0" w:after="60"/>
        <w:ind w:left="504" w:hanging="288"/>
      </w:pPr>
      <w:r>
        <w:rPr>
          <w:b w:val="0"/>
        </w:rPr>
        <w:t xml:space="preserve">•  </w:t>
      </w:r>
      <w:r>
        <w:rPr>
          <w:b/>
          <w:i w:val="0"/>
        </w:rPr>
        <w:t>Source Density</w:t>
      </w:r>
      <w:r>
        <w:rPr>
          <w:b w:val="0"/>
          <w:i w:val="0"/>
        </w:rPr>
        <w:t>: Weights based on the availability and quality of sensor/inspection data.</w:t>
      </w:r>
    </w:p>
    <w:p>
      <w:pPr>
        <w:spacing w:before="0" w:after="60"/>
        <w:ind w:left="504" w:hanging="288"/>
      </w:pPr>
      <w:r>
        <w:rPr>
          <w:b w:val="0"/>
        </w:rPr>
        <w:t xml:space="preserve">•  </w:t>
      </w:r>
      <w:r>
        <w:rPr>
          <w:b/>
          <w:i w:val="0"/>
        </w:rPr>
        <w:t>Model Consensus</w:t>
      </w:r>
      <w:r>
        <w:rPr>
          <w:b w:val="0"/>
          <w:i w:val="0"/>
        </w:rPr>
        <w:t>: Variance across multi-agent reasoning paths.</w:t>
      </w:r>
    </w:p>
    <w:p>
      <w:pPr>
        <w:spacing w:before="0" w:after="60"/>
        <w:ind w:left="504" w:hanging="288"/>
      </w:pPr>
      <w:r>
        <w:rPr>
          <w:b w:val="0"/>
        </w:rPr>
        <w:t xml:space="preserve">•  </w:t>
      </w:r>
      <w:r>
        <w:rPr>
          <w:b/>
          <w:i w:val="0"/>
        </w:rPr>
        <w:t>OOD Detection</w:t>
      </w:r>
      <w:r>
        <w:rPr>
          <w:b w:val="0"/>
          <w:i w:val="0"/>
        </w:rPr>
        <w:t>: Out-of-Distribution detection flags inputs (e.g., extreme sensor noise) that differ materially from the M0/M1 training distribution.</w:t>
      </w:r>
    </w:p>
    <w:p>
      <w:pPr>
        <w:spacing w:before="0" w:after="60"/>
        <w:ind w:left="504" w:hanging="288"/>
      </w:pPr>
      <w:r>
        <w:rPr>
          <w:b w:val="0"/>
        </w:rPr>
        <w:t xml:space="preserve">•  </w:t>
      </w:r>
      <w:r>
        <w:rPr>
          <w:b/>
          <w:i w:val="0"/>
        </w:rPr>
        <w:t>Cross-Source Confirmation</w:t>
      </w:r>
      <w:r>
        <w:rPr>
          <w:b w:val="0"/>
          <w:i w:val="0"/>
        </w:rPr>
        <w:t>: In v3.2, corroboration across independent sources can increase confidence, but only after the output has survived deterministic validation.</w:t>
      </w:r>
    </w:p>
    <w:p>
      <w:pPr>
        <w:pStyle w:val="Heading3"/>
      </w:pPr>
      <w:r>
        <w:rPr>
          <w:b w:val="0"/>
          <w:i w:val="0"/>
        </w:rPr>
        <w:t>Confidence Score Calibration Protocol (FR-AI-02)</w:t>
      </w:r>
    </w:p>
    <w:p>
      <w:pPr>
        <w:spacing w:before="0" w:after="120"/>
      </w:pPr>
      <w:r>
        <w:rPr>
          <w:b w:val="0"/>
          <w:i w:val="0"/>
        </w:rPr>
        <w:t>Confidence scores are calibrated against empirical accuracy before they are used as a dashboard threshold:</w:t>
      </w:r>
    </w:p>
    <w:p>
      <w:pPr>
        <w:spacing w:before="0" w:after="60"/>
        <w:ind w:left="504" w:hanging="288"/>
      </w:pPr>
      <w:r>
        <w:rPr>
          <w:b w:val="0"/>
        </w:rPr>
        <w:t xml:space="preserve">1.  </w:t>
      </w:r>
      <w:r>
        <w:rPr>
          <w:b w:val="0"/>
          <w:i w:val="0"/>
        </w:rPr>
        <w:t>For each confidence bucket (0.5–0.6, 0.6–0.7, 0.7–0.8, 0.8–0.9, 0.9–1.0), measure the proportion of outputs in that bucket that are confirmed correct by the operator pilot lead.</w:t>
      </w:r>
    </w:p>
    <w:p>
      <w:pPr>
        <w:spacing w:before="0" w:after="60"/>
        <w:ind w:left="504" w:hanging="288"/>
      </w:pPr>
      <w:r>
        <w:rPr>
          <w:b w:val="0"/>
        </w:rPr>
        <w:t xml:space="preserve">2.  </w:t>
      </w:r>
      <w:r>
        <w:rPr>
          <w:b w:val="0"/>
          <w:i w:val="0"/>
        </w:rPr>
        <w:t>Plot the calibration curve. A perfectly calibrated model has a diagonal curve (0.7 confidence = 70% accuracy). Report the calibration error.</w:t>
      </w:r>
    </w:p>
    <w:p>
      <w:pPr>
        <w:spacing w:before="0" w:after="60"/>
        <w:ind w:left="504" w:hanging="288"/>
      </w:pPr>
      <w:r>
        <w:rPr>
          <w:b w:val="0"/>
        </w:rPr>
        <w:t xml:space="preserve">3.  </w:t>
      </w:r>
      <w:r>
        <w:rPr>
          <w:b w:val="0"/>
          <w:i w:val="0"/>
        </w:rPr>
        <w:t>Adjust the dashboard surfacing threshold based on the calibration curve, not the raw confidence score. If the 0.7 bucket has 50% empirical accuracy, the surfacing threshold should be raised to the bucket that achieves the target accuracy.</w:t>
      </w:r>
    </w:p>
    <w:p>
      <w:pPr>
        <w:spacing w:before="0" w:after="60"/>
        <w:ind w:left="504" w:hanging="288"/>
      </w:pPr>
      <w:r>
        <w:rPr>
          <w:b w:val="0"/>
        </w:rPr>
        <w:t xml:space="preserve">4.  </w:t>
      </w:r>
      <w:r>
        <w:rPr>
          <w:b w:val="0"/>
          <w:i w:val="0"/>
        </w:rPr>
        <w:t>Include the calibration curve as a deliverable in the 90-day pilot success evaluation (Appendix G), updated at Week 9–10.</w:t>
      </w:r>
    </w:p>
    <w:p>
      <w:pPr>
        <w:spacing w:before="0" w:after="120"/>
      </w:pPr>
      <w:r>
        <w:rPr>
          <w:b w:val="0"/>
          <w:i/>
        </w:rPr>
        <w:t>v3.2 / v3.3 extension:</w:t>
      </w:r>
      <w:r>
        <w:rPr>
          <w:b w:val="0"/>
          <w:i w:val="0"/>
        </w:rPr>
        <w:t xml:space="preserve"> calibration must be reported separately for single-source findings, corroborated findings, and multi-source confirmed findings. Cross-source uplift is disabled by default until empirical accuracy demonstrates that the uplift is warranted. v3.3 additionally requires that the externally-quoted </w:t>
      </w:r>
      <w:r>
        <w:rPr>
          <w:b/>
          <w:i w:val="0"/>
        </w:rPr>
        <w:t>multi-source confirmed TPR &gt; 98% / FPR &lt; 2%</w:t>
      </w:r>
      <w:r>
        <w:rPr>
          <w:b w:val="0"/>
          <w:i w:val="0"/>
        </w:rPr>
        <w:t xml:space="preserve"> target be reported against the same calibration curve and re-evaluated after every campaign and patrol cycle.</w:t>
      </w:r>
    </w:p>
    <w:p>
      <w:pPr>
        <w:spacing w:before="40" w:after="160"/>
        <w:jc w:val="left"/>
      </w:pPr>
      <w:r>
        <w:rPr>
          <w:i/>
          <w:color w:val="666666"/>
          <w:sz w:val="19"/>
        </w:rPr>
        <w:t>The current threshold of 0.7 for Action dashboard surfacing and 0.6 for UNCERTAIN flagging is provisional until calibration data from the third inspection campaign is available.</w:t>
      </w:r>
    </w:p>
    <w:p>
      <w:pPr>
        <w:pStyle w:val="Heading3"/>
      </w:pPr>
      <w:r>
        <w:rPr>
          <w:b w:val="0"/>
          <w:i w:val="0"/>
        </w:rPr>
        <w:t>OOD Detection Update Cadence (FR-AI-04)</w:t>
      </w:r>
    </w:p>
    <w:p>
      <w:pPr>
        <w:spacing w:before="0" w:after="120"/>
      </w:pPr>
      <w:r>
        <w:rPr>
          <w:b w:val="0"/>
          <w:i w:val="0"/>
        </w:rPr>
        <w:t>The M0/M1 training distribution covers two facilities. The OOD detector trained on this distribution will flag the majority of inputs from a third facility as OOD.</w:t>
      </w:r>
    </w:p>
    <w:p>
      <w:pPr>
        <w:spacing w:before="0" w:after="60"/>
        <w:ind w:left="504" w:hanging="288"/>
      </w:pPr>
      <w:r>
        <w:rPr>
          <w:b w:val="0"/>
        </w:rPr>
        <w:t xml:space="preserve">•  </w:t>
      </w:r>
      <w:r>
        <w:rPr>
          <w:b w:val="0"/>
          <w:i w:val="0"/>
        </w:rPr>
        <w:t>After each new inspection campaign, retrain the OOD detector on the expanded distribution. This is lower-cost than retraining the detection models and can be done continuously.</w:t>
      </w:r>
    </w:p>
    <w:p>
      <w:pPr>
        <w:spacing w:before="0" w:after="60"/>
        <w:ind w:left="504" w:hanging="288"/>
      </w:pPr>
      <w:r>
        <w:rPr>
          <w:b w:val="0"/>
        </w:rPr>
        <w:t xml:space="preserve">•  </w:t>
      </w:r>
      <w:r>
        <w:rPr>
          <w:b/>
          <w:i w:val="0"/>
        </w:rPr>
        <w:t>New facility onboarding procedure</w:t>
      </w:r>
      <w:r>
        <w:rPr>
          <w:b w:val="0"/>
          <w:i w:val="0"/>
        </w:rPr>
        <w:t>: The first campaign at a new facility is treated as baseline data collection, not production anomaly detection. OOD flags are expected and are used to calibrate the detector, not to surface UNCERTAIN alerts to operators.</w:t>
      </w:r>
    </w:p>
    <w:p>
      <w:pPr>
        <w:spacing w:before="0" w:after="60"/>
        <w:ind w:left="504" w:hanging="288"/>
      </w:pPr>
      <w:r>
        <w:rPr>
          <w:b w:val="0"/>
        </w:rPr>
        <w:t xml:space="preserve">•  </w:t>
      </w:r>
      <w:r>
        <w:rPr>
          <w:b w:val="0"/>
          <w:i w:val="0"/>
        </w:rPr>
        <w:t>This procedure is documented in the pilot framework (Appendix G) so that operators understand that Week 1–4 detection performance will differ from steady-state performance.</w:t>
      </w:r>
    </w:p>
    <w:p>
      <w:pPr>
        <w:spacing w:before="0" w:after="60"/>
        <w:ind w:left="504" w:hanging="288"/>
      </w:pPr>
      <w:r>
        <w:rPr>
          <w:b w:val="0"/>
        </w:rPr>
        <w:t xml:space="preserve">•  </w:t>
      </w:r>
      <w:r>
        <w:rPr>
          <w:b/>
          <w:i w:val="0"/>
        </w:rPr>
        <w:t>v3.2 / v3.3 extension</w:t>
      </w:r>
      <w:r>
        <w:rPr>
          <w:b w:val="0"/>
          <w:i w:val="0"/>
        </w:rPr>
        <w:t>: High-endurance robot sessions, IFC/RVT metadata variance, fixed-infrastructure continuous-coverage telemetry, and high-regulation-environment sensor readings (e.g., dose, hot-cell, hazardous-area) are each treated as distinct distribution expansions. The first mission set in each category is baseline calibration data, not production-grade alerting data.</w:t>
      </w:r>
    </w:p>
    <w:p>
      <w:pPr>
        <w:pStyle w:val="Heading2"/>
      </w:pPr>
      <w:r>
        <w:rPr>
          <w:b w:val="0"/>
          <w:i w:val="0"/>
        </w:rPr>
        <w:t>Safety Fallbacks and HITL</w:t>
      </w:r>
    </w:p>
    <w:p>
      <w:pPr>
        <w:spacing w:before="0" w:after="120"/>
      </w:pPr>
      <w:r>
        <w:rPr>
          <w:b w:val="0"/>
          <w:i w:val="0"/>
        </w:rPr>
        <w:t>If an AI output fails a Filter Skill or returns a confidence score below 0.6:</w:t>
      </w:r>
    </w:p>
    <w:p>
      <w:pPr>
        <w:spacing w:before="0" w:after="60"/>
        <w:ind w:left="504" w:hanging="288"/>
      </w:pPr>
      <w:r>
        <w:rPr>
          <w:b w:val="0"/>
        </w:rPr>
        <w:t xml:space="preserve">1.  </w:t>
      </w:r>
      <w:r>
        <w:rPr>
          <w:b w:val="0"/>
          <w:i w:val="0"/>
        </w:rPr>
        <w:t xml:space="preserve">The output is automatically marked as </w:t>
      </w:r>
      <w:r>
        <w:rPr>
          <w:b/>
          <w:i w:val="0"/>
        </w:rPr>
        <w:t>"UNCERTAIN - REVIEW REQUIRED."</w:t>
      </w:r>
    </w:p>
    <w:p>
      <w:pPr>
        <w:spacing w:before="0" w:after="60"/>
        <w:ind w:left="504" w:hanging="288"/>
      </w:pPr>
      <w:r>
        <w:rPr>
          <w:b w:val="0"/>
        </w:rPr>
        <w:t xml:space="preserve">2.  </w:t>
      </w:r>
      <w:r>
        <w:rPr>
          <w:b w:val="0"/>
          <w:i w:val="0"/>
        </w:rPr>
        <w:t>The Integrity / Reliability Engineer is presented with the conflicting evidence (e.g., "AI suggests SCC, but material is plain Carbon Steel — check required"; or "AI suggests refractory hot-spot, but the equipment is uninsulated metallic — check required").</w:t>
      </w:r>
    </w:p>
    <w:p>
      <w:pPr>
        <w:spacing w:before="0" w:after="60"/>
        <w:ind w:left="504" w:hanging="288"/>
      </w:pPr>
      <w:r>
        <w:rPr>
          <w:b w:val="0"/>
        </w:rPr>
        <w:t xml:space="preserve">3.  </w:t>
      </w:r>
      <w:r>
        <w:rPr>
          <w:b w:val="0"/>
          <w:i w:val="0"/>
        </w:rPr>
        <w:t>The system prevents the anomaly from propagating to the "Critical Action" dashboard until manually resolved.</w:t>
      </w:r>
    </w:p>
    <w:p>
      <w:pPr>
        <w:pStyle w:val="Heading2"/>
      </w:pPr>
      <w:r>
        <w:rPr>
          <w:b w:val="0"/>
          <w:i w:val="0"/>
        </w:rPr>
        <w:t>Chain-Level Consistency Gate (FR-AI-03)</w:t>
      </w:r>
    </w:p>
    <w:p>
      <w:pPr>
        <w:spacing w:before="0" w:after="120"/>
      </w:pPr>
      <w:r>
        <w:rPr>
          <w:b w:val="0"/>
          <w:i w:val="0"/>
        </w:rPr>
        <w:t>The operating-limit / failure-mechanism chain is a 6-stage pipeline. A hallucination in Stage 3 that passes the Filter Skill will propagate through Stages 4, 5, and 6, compounding at each step. The consistency gate (Stage 3.5 in the analytical chain table above) performs three checks to prevent this:</w:t>
      </w:r>
    </w:p>
    <w:p>
      <w:pPr>
        <w:spacing w:before="0" w:after="60"/>
        <w:ind w:left="504" w:hanging="288"/>
      </w:pPr>
      <w:r>
        <w:rPr>
          <w:b w:val="0"/>
        </w:rPr>
        <w:t xml:space="preserve">1.  </w:t>
      </w:r>
      <w:r>
        <w:rPr>
          <w:b/>
          <w:i w:val="0"/>
        </w:rPr>
        <w:t>Material-mechanism consistency</w:t>
      </w:r>
      <w:r>
        <w:rPr>
          <w:b w:val="0"/>
          <w:i w:val="0"/>
        </w:rPr>
        <w:t>: Is the predicted failure mechanism physically plausible given the asset's material of construction and operating environment? (This is the existing Filter Skill.)</w:t>
      </w:r>
    </w:p>
    <w:p>
      <w:pPr>
        <w:spacing w:before="0" w:after="60"/>
        <w:ind w:left="504" w:hanging="288"/>
      </w:pPr>
      <w:r>
        <w:rPr>
          <w:b w:val="0"/>
        </w:rPr>
        <w:t xml:space="preserve">2.  </w:t>
      </w:r>
      <w:r>
        <w:rPr>
          <w:b/>
          <w:i w:val="0"/>
        </w:rPr>
        <w:t>Rate-mechanism consistency</w:t>
      </w:r>
      <w:r>
        <w:rPr>
          <w:b w:val="0"/>
          <w:i w:val="0"/>
        </w:rPr>
        <w:t>: Is the predicted degradation / wear rate in Stage 5 consistent with the predicted failure mechanism in Stage 3? For example, if Stage 3 predicts external insulation damage, the rate should not be derived from internal process chemistry data; if Stage 3 predicts abrasion at a transfer point, the rate should not be derived from a uniform-corrosion model.</w:t>
      </w:r>
    </w:p>
    <w:p>
      <w:pPr>
        <w:spacing w:before="0" w:after="60"/>
        <w:ind w:left="504" w:hanging="288"/>
      </w:pPr>
      <w:r>
        <w:rPr>
          <w:b w:val="0"/>
        </w:rPr>
        <w:t xml:space="preserve">3.  </w:t>
      </w:r>
      <w:r>
        <w:rPr>
          <w:b/>
          <w:i w:val="0"/>
        </w:rPr>
        <w:t>Evidence consistency</w:t>
      </w:r>
      <w:r>
        <w:rPr>
          <w:b w:val="0"/>
          <w:i w:val="0"/>
        </w:rPr>
        <w:t>: If Stage 4 physical validation data is available, does the visual evidence (thermal anomaly pattern, specialty-imagery reading) match what the predicted failure mechanism would produce? A thermal anomaly consistent with insulation / refractory damage is consistent with that mechanism. A uniform wall-loss pattern from thickness measurement is not consistent with localized pitting from a specific underdeposit attack.</w:t>
      </w:r>
    </w:p>
    <w:p>
      <w:pPr>
        <w:spacing w:before="0" w:after="120"/>
      </w:pPr>
      <w:r>
        <w:rPr>
          <w:b w:val="0"/>
          <w:i w:val="0"/>
        </w:rPr>
        <w:t xml:space="preserve">Failures produce an explicit </w:t>
      </w:r>
      <w:r>
        <w:rPr>
          <w:b/>
          <w:i w:val="0"/>
        </w:rPr>
        <w:t>"INCONSISTENT — ENGINEERING REVIEW REQUIRED"</w:t>
      </w:r>
      <w:r>
        <w:rPr>
          <w:b w:val="0"/>
          <w:i w:val="0"/>
        </w:rPr>
        <w:t xml:space="preserve"> flag rather than propagating to Stage 5. The inconsistency reason and the conflicting evidence are surfaced to the engineer alongside the flag.</w:t>
      </w:r>
    </w:p>
    <w:p>
      <w:pPr>
        <w:spacing w:before="0" w:after="120"/>
      </w:pPr>
      <w:r>
        <w:rPr>
          <w:b w:val="0"/>
          <w:i w:val="0"/>
        </w:rPr>
        <w:t xml:space="preserve">From v3.2 onwards, multi-source confirmation strengthens evidence consistency only when the corroborating sources are genuinely independent. A second source can support a finding; it cannot override a Filter Skill rejection or erase a material-mechanism inconsistency. v3.3 restates the priority order explicitly — </w:t>
      </w:r>
      <w:r>
        <w:rPr>
          <w:b/>
          <w:i w:val="0"/>
        </w:rPr>
        <w:t>Filter Skill &gt; Stage 3.5 &gt; cross-source uplift</w:t>
      </w:r>
      <w:r>
        <w:rPr>
          <w:b w:val="0"/>
          <w:i w:val="0"/>
        </w:rPr>
        <w:t xml:space="preserve"> — so that the cross-source correlation engine cannot be misread as a Filter Skill bypass. High-regulation deployments (e.g., nuclear, hot-cell, regulated hazardous-area sites) additionally require mandatory engineer review before any downstream CMMS / EAM handoff.</w:t>
      </w:r>
    </w:p>
    <w:p>
      <w:pPr>
        <w:pStyle w:val="Heading1"/>
      </w:pPr>
      <w:r>
        <w:rPr>
          <w:b w:val="0"/>
          <w:i w:val="0"/>
        </w:rPr>
        <w:t>Deployment Architecture — On-Premise, Air-Gapped, and Fixed-Infrastructure Options</w:t>
      </w:r>
    </w:p>
    <w:p>
      <w:pPr>
        <w:spacing w:before="0" w:after="120"/>
      </w:pPr>
      <w:r>
        <w:rPr>
          <w:b w:val="0"/>
          <w:i w:val="0"/>
        </w:rPr>
        <w:t xml:space="preserve">Enterprise procurement in heavy industry — steel and metals, power, chemicals, pulp &amp; paper, cement, mining, and downstream hydrocarbons — requires defined answers to three infrastructure questions: where does the data go, who controls the model, and can the system operate without cloud connectivity. v3.2 kept the v2.9 answers intact and added a fourth: what changes when the site adopts persistent robot coverage and higher-regulation operating constraints. v3.3 keeps all four answers in place and surfaces an additional procurement-relevant commitment: </w:t>
      </w:r>
      <w:r>
        <w:rPr>
          <w:b/>
          <w:i w:val="0"/>
        </w:rPr>
        <w:t>on-premise / air-gapped deployments require no heartbeat, telemetry, or license callbacks of any kind</w:t>
      </w:r>
      <w:r>
        <w:rPr>
          <w:b w:val="0"/>
          <w:i w:val="0"/>
        </w:rPr>
        <w: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Deployment tier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Description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Data residency</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Availability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Cloud SaaS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 cloud infrastructure on Google Cloud. Multi-tenant with row-level security. Fastest to deploy. Suitable for operators with standard IT security postures.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GCP tenant (configurable region)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Now (alpha)</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Customer cloud tenant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Container-based deployment into the operator's own Azure or AWS environment. Kav AI provides the container package and upgrade process; the operator controls the infrastructure. Satisfies data sovereignty and IT security requirements of major industrial operators.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Operator's own cloud tenant. No data leaves operator environment.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On-premise / air-gapped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Fully containerized deployment on operator-managed hardware within the OT/IT DMZ or corporate LAN. Includes self-hosted LLM inference (</w:t>
            </w:r>
            <w:r>
              <w:rPr>
                <w:rFonts w:ascii="Arial" w:hAnsi="Arial"/>
                <w:b/>
                <w:i w:val="0"/>
                <w:color w:val="111111"/>
                <w:sz w:val="20"/>
              </w:rPr>
              <w:t>Llama-3-70B or Mistral-Large-24.07</w:t>
            </w:r>
            <w:r>
              <w:rPr>
                <w:rFonts w:ascii="Arial" w:hAnsi="Arial"/>
                <w:b w:val="0"/>
                <w:i w:val="0"/>
                <w:color w:val="111111"/>
                <w:sz w:val="20"/>
              </w:rPr>
              <w:t xml:space="preserve">). </w:t>
            </w:r>
            <w:r>
              <w:rPr>
                <w:rFonts w:ascii="Arial" w:hAnsi="Arial"/>
                <w:b/>
                <w:i w:val="0"/>
                <w:color w:val="111111"/>
                <w:sz w:val="20"/>
              </w:rPr>
              <w:t>Hardware Requirements: Min 128GB RAM, 16 vCPU, 2x NVIDIA A100 (80GB) or equivalent.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Operator-managed hardware. </w:t>
            </w:r>
            <w:r>
              <w:rPr>
                <w:rFonts w:ascii="Arial" w:hAnsi="Arial"/>
                <w:b/>
                <w:i w:val="0"/>
                <w:color w:val="111111"/>
                <w:sz w:val="20"/>
              </w:rPr>
              <w:t>100% air-gapped; no heartbeat or license callbacks required.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bl>
    <w:p>
      <w:pPr>
        <w:spacing w:before="40" w:after="120"/>
      </w:pPr>
    </w:p>
    <w:p>
      <w:pPr>
        <w:pStyle w:val="Heading2"/>
      </w:pPr>
      <w:r>
        <w:rPr>
          <w:b w:val="0"/>
          <w:i w:val="0"/>
        </w:rPr>
        <w:t>Control-System Compatibility Matrix (Qualifications)</w:t>
      </w:r>
    </w:p>
    <w:p>
      <w:pPr>
        <w:spacing w:before="0" w:after="120"/>
      </w:pPr>
      <w:r>
        <w:rPr>
          <w:b w:val="0"/>
          <w:i w:val="0"/>
        </w:rPr>
        <w:t>Deployment complexity for OPC UA varies by vendor and version. The list below covers vendors common across heavy industry; sector-specific platforms (e.g., level-2 mill automation in steel) are validated case-by-case.</w:t>
      </w:r>
    </w:p>
    <w:p>
      <w:pPr>
        <w:spacing w:before="0" w:after="60"/>
        <w:ind w:left="504" w:hanging="288"/>
      </w:pPr>
      <w:r>
        <w:rPr>
          <w:b w:val="0"/>
        </w:rPr>
        <w:t xml:space="preserve">•  </w:t>
      </w:r>
      <w:r>
        <w:rPr>
          <w:b/>
          <w:i w:val="0"/>
        </w:rPr>
        <w:t>Emerson DeltaV</w:t>
      </w:r>
      <w:r>
        <w:rPr>
          <w:b w:val="0"/>
          <w:i w:val="0"/>
        </w:rPr>
        <w:t>: Native support from v14.3+; earlier versions require an OPC UA gateway.</w:t>
      </w:r>
    </w:p>
    <w:p>
      <w:pPr>
        <w:spacing w:before="0" w:after="60"/>
        <w:ind w:left="504" w:hanging="288"/>
      </w:pPr>
      <w:r>
        <w:rPr>
          <w:b w:val="0"/>
        </w:rPr>
        <w:t xml:space="preserve">•  </w:t>
      </w:r>
      <w:r>
        <w:rPr>
          <w:b/>
          <w:i w:val="0"/>
        </w:rPr>
        <w:t>AVEVA System Platform</w:t>
      </w:r>
      <w:r>
        <w:rPr>
          <w:b w:val="0"/>
          <w:i w:val="0"/>
        </w:rPr>
        <w:t>: Requires Historian configuration to expose tags via UA; typically restricted by DMZ policy.</w:t>
      </w:r>
    </w:p>
    <w:p>
      <w:pPr>
        <w:spacing w:before="0" w:after="60"/>
        <w:ind w:left="504" w:hanging="288"/>
      </w:pPr>
      <w:r>
        <w:rPr>
          <w:b w:val="0"/>
        </w:rPr>
        <w:t xml:space="preserve">•  </w:t>
      </w:r>
      <w:r>
        <w:rPr>
          <w:b/>
          <w:i w:val="0"/>
        </w:rPr>
        <w:t>Siemens WinCC / SIMATIC / PCS 7</w:t>
      </w:r>
      <w:r>
        <w:rPr>
          <w:b w:val="0"/>
          <w:i w:val="0"/>
        </w:rPr>
        <w:t>: Requires WinCC OPC UA Server license; server configuration often requires Siemens Professional Services.</w:t>
      </w:r>
    </w:p>
    <w:p>
      <w:pPr>
        <w:spacing w:before="0" w:after="60"/>
        <w:ind w:left="504" w:hanging="288"/>
      </w:pPr>
      <w:r>
        <w:rPr>
          <w:b w:val="0"/>
        </w:rPr>
        <w:t xml:space="preserve">•  </w:t>
      </w:r>
      <w:r>
        <w:rPr>
          <w:b/>
          <w:i w:val="0"/>
        </w:rPr>
        <w:t>Rockwell FactoryTalk / Logix</w:t>
      </w:r>
      <w:r>
        <w:rPr>
          <w:b w:val="0"/>
          <w:i w:val="0"/>
        </w:rPr>
        <w:t>: OPC UA exposure via FactoryTalk Gateway or third-party OPC UA wrappers.</w:t>
      </w:r>
    </w:p>
    <w:p>
      <w:pPr>
        <w:spacing w:before="0" w:after="60"/>
        <w:ind w:left="504" w:hanging="288"/>
      </w:pPr>
      <w:r>
        <w:rPr>
          <w:b w:val="0"/>
        </w:rPr>
        <w:t xml:space="preserve">•  </w:t>
      </w:r>
      <w:r>
        <w:rPr>
          <w:b/>
          <w:i w:val="0"/>
        </w:rPr>
        <w:t>Honeywell Experion</w:t>
      </w:r>
      <w:r>
        <w:rPr>
          <w:b w:val="0"/>
          <w:i w:val="0"/>
        </w:rPr>
        <w:t>: OPC UA exposure via Experion OPC UA Server module.</w:t>
      </w:r>
    </w:p>
    <w:p>
      <w:pPr>
        <w:spacing w:before="0" w:after="60"/>
        <w:ind w:left="504" w:hanging="288"/>
      </w:pPr>
      <w:r>
        <w:rPr>
          <w:b w:val="0"/>
        </w:rPr>
        <w:t xml:space="preserve">•  </w:t>
      </w:r>
      <w:r>
        <w:rPr>
          <w:b/>
          <w:i w:val="0"/>
        </w:rPr>
        <w:t>Ignition (Inductive Automation)</w:t>
      </w:r>
      <w:r>
        <w:rPr>
          <w:b w:val="0"/>
          <w:i w:val="0"/>
        </w:rPr>
        <w:t>: Full native compatibility with built-in UA module.</w:t>
      </w:r>
    </w:p>
    <w:p>
      <w:pPr>
        <w:spacing w:before="0" w:after="60"/>
        <w:ind w:left="504" w:hanging="288"/>
      </w:pPr>
      <w:r>
        <w:rPr>
          <w:b w:val="0"/>
        </w:rPr>
        <w:t xml:space="preserve">•  </w:t>
      </w:r>
      <w:r>
        <w:rPr>
          <w:b/>
          <w:i w:val="0"/>
        </w:rPr>
        <w:t>Sector-specific Level-2 automation systems</w:t>
      </w:r>
      <w:r>
        <w:rPr>
          <w:b w:val="0"/>
          <w:i w:val="0"/>
        </w:rPr>
        <w:t xml:space="preserve"> (e.g., metals mill control, recovery-boiler control): OPC UA exposure typically via the vendor's OPC UA gateway or a third-party connector — validated per site.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OT/IT boundary by design</w:t>
            </w:r>
          </w:p>
          <w:p>
            <w:pPr>
              <w:spacing w:before="0" w:after="0"/>
            </w:pPr>
            <w:r>
              <w:rPr>
                <w:rFonts w:ascii="Arial" w:hAnsi="Arial"/>
                <w:b w:val="0"/>
                <w:i w:val="0"/>
                <w:color w:val="222222"/>
                <w:sz w:val="20"/>
              </w:rPr>
              <w:t xml:space="preserve">Kav AI's control-system integration is read-only via OPC UA, operating from the IT side of the OT/IT boundary. </w:t>
            </w:r>
            <w:r>
              <w:rPr>
                <w:rFonts w:ascii="Arial" w:hAnsi="Arial"/>
                <w:b/>
                <w:i w:val="0"/>
                <w:color w:val="222222"/>
                <w:sz w:val="20"/>
              </w:rPr>
              <w:t>Read-only is enforced technically via: (1) OPC UA Server user access rights restricted to 'Read' and 'Subscribe' services only; (2) DMZ proxy/aggregator configured to reject all Write/Call requests; and (3) Firewall TCP/IP port restriction (4840/4843).</w:t>
            </w:r>
            <w:r>
              <w:rPr>
                <w:rFonts w:ascii="Arial" w:hAnsi="Arial"/>
                <w:b w:val="0"/>
                <w:i w:val="0"/>
                <w:color w:val="222222"/>
                <w:sz w:val="20"/>
              </w:rPr>
              <w:t xml:space="preserve"> Kav AI supports outbound connection initiation from the OT side to satisfy strict "no-inbound" firewall policies.</w:t>
            </w:r>
          </w:p>
        </w:tc>
      </w:tr>
    </w:tbl>
    <w:p>
      <w:pPr>
        <w:spacing w:before="40" w:after="120"/>
      </w:pPr>
    </w:p>
    <w:p>
      <w:pPr>
        <w:pStyle w:val="Heading3"/>
      </w:pPr>
      <w:r>
        <w:rPr>
          <w:b w:val="0"/>
          <w:i w:val="0"/>
        </w:rPr>
        <w:t>Secrets and Credential Management</w:t>
      </w:r>
    </w:p>
    <w:p>
      <w:pPr>
        <w:spacing w:before="0" w:after="120"/>
      </w:pPr>
      <w:r>
        <w:rPr>
          <w:b w:val="0"/>
          <w:i w:val="0"/>
        </w:rPr>
        <w:t>Kav AI does not store plain-text credentials in container configurations.</w:t>
      </w:r>
    </w:p>
    <w:p>
      <w:pPr>
        <w:spacing w:before="0" w:after="60"/>
        <w:ind w:left="504" w:hanging="288"/>
      </w:pPr>
      <w:r>
        <w:rPr>
          <w:b w:val="0"/>
        </w:rPr>
        <w:t xml:space="preserve">•  </w:t>
      </w:r>
      <w:r>
        <w:rPr>
          <w:b/>
          <w:i w:val="0"/>
        </w:rPr>
        <w:t>OPC UA Authentication</w:t>
      </w:r>
      <w:r>
        <w:rPr>
          <w:b w:val="0"/>
          <w:i w:val="0"/>
        </w:rPr>
        <w:t xml:space="preserve">: Supports </w:t>
      </w:r>
      <w:r>
        <w:rPr>
          <w:b/>
          <w:i w:val="0"/>
        </w:rPr>
        <w:t>X.509 Client Certificates</w:t>
      </w:r>
      <w:r>
        <w:rPr>
          <w:b w:val="0"/>
          <w:i w:val="0"/>
        </w:rPr>
        <w:t xml:space="preserve"> (PKI) for Mutual TLS (mTLS) or encrypted username/password via integration with </w:t>
      </w:r>
      <w:r>
        <w:rPr>
          <w:b/>
          <w:i w:val="0"/>
        </w:rPr>
        <w:t>HashiCorp Vault</w:t>
      </w:r>
      <w:r>
        <w:rPr>
          <w:b w:val="0"/>
          <w:i w:val="0"/>
        </w:rPr>
        <w:t xml:space="preserve"> or cloud-native secrets managers (Azure Key Vault, GCP Secrets Manager).</w:t>
      </w:r>
    </w:p>
    <w:p>
      <w:pPr>
        <w:spacing w:before="0" w:after="60"/>
        <w:ind w:left="504" w:hanging="288"/>
      </w:pPr>
      <w:r>
        <w:rPr>
          <w:b w:val="0"/>
        </w:rPr>
        <w:t xml:space="preserve">•  </w:t>
      </w:r>
      <w:r>
        <w:rPr>
          <w:b/>
          <w:i w:val="0"/>
        </w:rPr>
        <w:t>Encryption</w:t>
      </w:r>
      <w:r>
        <w:rPr>
          <w:b w:val="0"/>
          <w:i w:val="0"/>
        </w:rPr>
        <w:t xml:space="preserve">: All data is encrypted at rest using </w:t>
      </w:r>
      <w:r>
        <w:rPr>
          <w:b/>
          <w:i w:val="0"/>
        </w:rPr>
        <w:t>AES-256</w:t>
      </w:r>
      <w:r>
        <w:rPr>
          <w:b w:val="0"/>
          <w:i w:val="0"/>
        </w:rPr>
        <w:t xml:space="preserve"> and in transit via </w:t>
      </w:r>
      <w:r>
        <w:rPr>
          <w:b/>
          <w:i w:val="0"/>
        </w:rPr>
        <w:t>TLS 1.2/1.3</w:t>
      </w:r>
      <w:r>
        <w:rPr>
          <w:b w:val="0"/>
          <w:i w:val="0"/>
        </w:rPr>
        <w:t>.</w:t>
      </w:r>
    </w:p>
    <w:p>
      <w:pPr>
        <w:pStyle w:val="Heading3"/>
      </w:pPr>
      <w:r>
        <w:rPr>
          <w:b w:val="0"/>
          <w:i w:val="0"/>
        </w:rPr>
        <w:t>Container Supply Chain Security</w:t>
      </w:r>
    </w:p>
    <w:p>
      <w:pPr>
        <w:spacing w:before="0" w:after="120"/>
      </w:pPr>
      <w:r>
        <w:rPr>
          <w:b w:val="0"/>
          <w:i w:val="0"/>
        </w:rPr>
        <w:t>To ensure the integrity of on-premise and tenant deployments:</w:t>
      </w:r>
    </w:p>
    <w:p>
      <w:pPr>
        <w:spacing w:before="0" w:after="60"/>
        <w:ind w:left="504" w:hanging="288"/>
      </w:pPr>
      <w:r>
        <w:rPr>
          <w:b w:val="0"/>
        </w:rPr>
        <w:t xml:space="preserve">•  </w:t>
      </w:r>
      <w:r>
        <w:rPr>
          <w:b/>
          <w:i w:val="0"/>
        </w:rPr>
        <w:t>Image Signing</w:t>
      </w:r>
      <w:r>
        <w:rPr>
          <w:b w:val="0"/>
          <w:i w:val="0"/>
        </w:rPr>
        <w:t xml:space="preserve">: All production container images are signed using </w:t>
      </w:r>
      <w:r>
        <w:rPr>
          <w:b/>
          <w:i w:val="0"/>
        </w:rPr>
        <w:t>Sigstore/cosign</w:t>
      </w:r>
      <w:r>
        <w:rPr>
          <w:b w:val="0"/>
          <w:i w:val="0"/>
        </w:rPr>
        <w:t xml:space="preserve"> and verified at runtime.</w:t>
      </w:r>
    </w:p>
    <w:p>
      <w:pPr>
        <w:spacing w:before="0" w:after="60"/>
        <w:ind w:left="504" w:hanging="288"/>
      </w:pPr>
      <w:r>
        <w:rPr>
          <w:b w:val="0"/>
        </w:rPr>
        <w:t xml:space="preserve">•  </w:t>
      </w:r>
      <w:r>
        <w:rPr>
          <w:b/>
          <w:i w:val="0"/>
        </w:rPr>
        <w:t>Vulnerability Scanning</w:t>
      </w:r>
      <w:r>
        <w:rPr>
          <w:b w:val="0"/>
          <w:i w:val="0"/>
        </w:rPr>
        <w:t xml:space="preserve">: CI/CD pipelines use </w:t>
      </w:r>
      <w:r>
        <w:rPr>
          <w:b/>
          <w:i w:val="0"/>
        </w:rPr>
        <w:t>Trivy</w:t>
      </w:r>
      <w:r>
        <w:rPr>
          <w:b w:val="0"/>
          <w:i w:val="0"/>
        </w:rPr>
        <w:t xml:space="preserve"> for deep-layer vulnerability scanning before image promotion.</w:t>
      </w:r>
    </w:p>
    <w:p>
      <w:pPr>
        <w:spacing w:before="0" w:after="60"/>
        <w:ind w:left="504" w:hanging="288"/>
      </w:pPr>
      <w:r>
        <w:rPr>
          <w:b w:val="0"/>
        </w:rPr>
        <w:t xml:space="preserve">•  </w:t>
      </w:r>
      <w:r>
        <w:rPr>
          <w:b/>
          <w:i w:val="0"/>
        </w:rPr>
        <w:t>SBOM</w:t>
      </w:r>
      <w:r>
        <w:rPr>
          <w:b w:val="0"/>
          <w:i w:val="0"/>
        </w:rPr>
        <w:t>: A Software Bill of Materials (</w:t>
      </w:r>
      <w:r>
        <w:rPr>
          <w:b/>
          <w:i w:val="0"/>
        </w:rPr>
        <w:t>SPDX format</w:t>
      </w:r>
      <w:r>
        <w:rPr>
          <w:b w:val="0"/>
          <w:i w:val="0"/>
        </w:rPr>
        <w:t>) is provided for every production release to facilitate operator-side security audits.</w:t>
      </w:r>
    </w:p>
    <w:p>
      <w:pPr>
        <w:pStyle w:val="Heading2"/>
      </w:pPr>
      <w:r>
        <w:rPr>
          <w:b w:val="0"/>
          <w:i w:val="0"/>
        </w:rPr>
        <w:t>Security and compliance targets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Framework</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position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 date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SOC 2 Type II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Security certification audit in planning. Controls mapped; observation period expected to commence Q2 2026. </w:t>
            </w:r>
            <w:r>
              <w:rPr>
                <w:rFonts w:ascii="Arial" w:hAnsi="Arial"/>
                <w:b/>
                <w:i w:val="0"/>
                <w:color w:val="111111"/>
                <w:sz w:val="20"/>
              </w:rPr>
              <w:t>(Target completion: Q4 2026, pending audit window success).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IEC 62443 (OT security)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Read-only OPC UA integration, no writes to OT systems, Purdue Model-compatible network segmentation in on-premise tier. Compatible with site-level information-security frameworks (e.g., NIST CSF, ISO 27001).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On-premise tier (H1 2027)</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sovereignty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Customer cloud tenant and on-premise tiers provide full data residency within operator's own environment. </w:t>
            </w:r>
            <w:r>
              <w:rPr>
                <w:rFonts w:ascii="Arial" w:hAnsi="Arial"/>
                <w:b/>
                <w:i w:val="0"/>
                <w:color w:val="111111"/>
                <w:sz w:val="20"/>
              </w:rPr>
              <w:t>No telemetry or imagery leaves the operator security perimeter in these modes.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cloud (Q4 2026)</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Authentication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JWT with short-lived tokens, multi-tenant row-level security (verified via independent pentest), SSO integration via SAML 2.0 / OIDC.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 2026 (delivered)</w:t>
            </w:r>
          </w:p>
        </w:tc>
      </w:tr>
    </w:tbl>
    <w:p>
      <w:pPr>
        <w:spacing w:before="40" w:after="120"/>
      </w:pPr>
    </w:p>
    <w:p>
      <w:pPr>
        <w:pStyle w:val="Heading2"/>
      </w:pPr>
      <w:r>
        <w:rPr>
          <w:b w:val="0"/>
          <w:i w:val="0"/>
        </w:rPr>
        <w:t>Fixed infrastructure deployment</w:t>
      </w:r>
    </w:p>
    <w:p>
      <w:pPr>
        <w:spacing w:before="0" w:after="120"/>
      </w:pPr>
      <w:r>
        <w:rPr>
          <w:b w:val="0"/>
          <w:i w:val="0"/>
        </w:rPr>
        <w:t>The fixed-infrastructure additions are treated in v3.2 as deployment extensions rather than as a separate product: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Component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Specification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Responsibility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Navigation beacons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UWB or LiDAR-reflector-based references; target within 10cm of onboard baseline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specifies; operator installs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Communication backbone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Private 5G, industrial Wi-Fi mesh, or hybrid; &gt;= 50 Mbps uplink per patrol zone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specifies; operator provisions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Docking stations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Power and wired network drops for charging and bulk data offload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specifies; operator installs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Coverage orchestration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Runs inside Kav AI and publishes ranked inspection priorities to fleet software or operators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deploys</w:t>
            </w:r>
          </w:p>
        </w:tc>
      </w:tr>
    </w:tbl>
    <w:p>
      <w:pPr>
        <w:spacing w:before="40" w:after="120"/>
      </w:pPr>
    </w:p>
    <w:p>
      <w:pPr>
        <w:spacing w:before="0" w:after="120"/>
      </w:pPr>
      <w:r>
        <w:rPr>
          <w:b w:val="0"/>
          <w:i w:val="0"/>
        </w:rPr>
        <w:t>These components do not alter the OT/IT boundary described above. In air-gapped deployments they operate entirely within the operator's network perimeter.</w:t>
      </w:r>
    </w:p>
    <w:p>
      <w:pPr>
        <w:pStyle w:val="Heading2"/>
      </w:pPr>
      <w:r>
        <w:rPr>
          <w:b w:val="0"/>
          <w:i w:val="0"/>
        </w:rPr>
        <w:t>Regulated-environment considerations</w:t>
      </w:r>
    </w:p>
    <w:p>
      <w:pPr>
        <w:spacing w:before="0" w:after="120"/>
      </w:pPr>
      <w:r>
        <w:rPr>
          <w:b w:val="0"/>
          <w:i w:val="0"/>
        </w:rPr>
        <w:t>Higher-regulation deployments add operating constraints without changing the core architecture: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Requirement</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v3.2 treatment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Lifetime retention environments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Support storage sizing and retention policies for facilities that require multi-decade data preservation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Hazard-aware operations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Where elevated hazards are in scope (radiation dose, hot / molten material, hazardous-area gas, confined space), robot mission records and anomaly packets carry the relevant exposure / hazard context for auditability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Mandatory on-premise profile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High-regulation deployments (e.g., nuclear, hot-cell, regulated hazardous-area sites) default to on-premise / air-gapped operation with no cloud exception path</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Connector hardening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SAP PM, Maximo, and similar enterprise connectors follow customer authentication and certificate standards rather than introducing proprietary trust models</w:t>
            </w:r>
          </w:p>
        </w:tc>
      </w:tr>
    </w:tbl>
    <w:p>
      <w:pPr>
        <w:spacing w:before="40" w:after="120"/>
      </w:pPr>
    </w:p>
    <w:p>
      <w:pPr>
        <w:pStyle w:val="Heading1"/>
      </w:pPr>
      <w:r>
        <w:rPr>
          <w:b w:val="0"/>
          <w:i w:val="0"/>
        </w:rPr>
        <w:t>Partner-Integrated Delivery Model</w:t>
      </w:r>
    </w:p>
    <w:p>
      <w:pPr>
        <w:spacing w:before="0" w:after="120"/>
      </w:pPr>
      <w:r>
        <w:rPr>
          <w:b w:val="0"/>
          <w:i w:val="0"/>
        </w:rPr>
        <w:t>Kav AI's customers do not buy a platform in isolation. They buy a working integrity / reliability program — anomalies that have been surfaced, reviewed by a qualified engineer, embedded in a Risk-Based Inspection (RBI) plan, and pushed into a CMMS / EAM work order. v3.3 formalizes a delivery model in which the Kav AI Platform (KAP) is the technology layer and a qualified mechanical-integrity / reliability engineering partner provides the human Integrity / Reliability Engineer panel.</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What changed in v3.3 The partner-integrated model has been used in pilot conversations since v3.0. v3.3 makes it a documented part of the</w:t>
            </w:r>
          </w:p>
          <w:p>
            <w:pPr>
              <w:spacing w:before="0" w:after="0"/>
            </w:pPr>
            <w:r>
              <w:rPr>
                <w:rFonts w:ascii="Arial" w:hAnsi="Arial"/>
                <w:b w:val="0"/>
                <w:i w:val="0"/>
                <w:color w:val="222222"/>
                <w:sz w:val="20"/>
              </w:rPr>
              <w:t>PRD because it has matured into a single, unified service delivery model that customers can ask for by name. The same model is offered with industry-appropriate engineering partners across hydrocarbons, metals, power, chemicals, and other heavy industry.</w:t>
            </w:r>
          </w:p>
        </w:tc>
      </w:tr>
    </w:tbl>
    <w:p>
      <w:pPr>
        <w:spacing w:before="40" w:after="120"/>
      </w:pPr>
    </w:p>
    <w:p>
      <w:pPr>
        <w:pStyle w:val="Heading2"/>
      </w:pPr>
      <w:r>
        <w:rPr>
          <w:b w:val="0"/>
          <w:i w:val="0"/>
        </w:rPr>
        <w:t>Why a partner channel exists</w:t>
      </w:r>
    </w:p>
    <w:p>
      <w:pPr>
        <w:spacing w:before="0" w:after="120"/>
      </w:pPr>
      <w:r>
        <w:rPr>
          <w:b w:val="0"/>
          <w:i w:val="0"/>
        </w:rPr>
        <w:t>The Kav AI position on Human-in-the-Loop (HITL) validation is non-negotiable: no Critical severity output, no Remaining Life adjustment, and no automatic CMMS / EAM work order can be finalized without a qualified Integrity / Reliability Engineer's sign-off. That requirement creates a recurring engineering workload that some customers prefer to outsource to a specialist firm rather than staff in-house.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Without a partner</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With a partner</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staffs and trains its own Integrity / Reliability Engineer panel for the HITL seat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provides the panel as a managed service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integrates KAP findings into its existing RBI / inspection-data-management program on its own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embeds KAP findings into the RBI / inspection-data-management program as part of its core scope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is responsible for failure-mechanism / operating-limit program work for in-scope assets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produces and maintains failure-mechanism reviews and operating-limit recommendations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Procurement requires two separate contracts (platform + services)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 integrated procurement vehicle</w:t>
            </w:r>
          </w:p>
        </w:tc>
      </w:tr>
    </w:tbl>
    <w:p>
      <w:pPr>
        <w:spacing w:before="40" w:after="120"/>
      </w:pPr>
    </w:p>
    <w:p>
      <w:pPr>
        <w:spacing w:before="0" w:after="120"/>
      </w:pPr>
      <w:r>
        <w:rPr>
          <w:b w:val="0"/>
          <w:i w:val="0"/>
        </w:rPr>
        <w:t>Both models are supported. The partner channel is an option for customers who want a unified procurement vehicle and faster time-to-RBI-impact.</w:t>
      </w:r>
    </w:p>
    <w:p>
      <w:pPr>
        <w:pStyle w:val="Heading2"/>
      </w:pPr>
      <w:r>
        <w:rPr>
          <w:b w:val="0"/>
          <w:i w:val="0"/>
        </w:rPr>
        <w:t>Reference partnership pattern</w:t>
      </w:r>
    </w:p>
    <w:p>
      <w:pPr>
        <w:spacing w:before="0" w:after="120"/>
      </w:pPr>
      <w:r>
        <w:rPr>
          <w:b w:val="0"/>
          <w:i w:val="0"/>
        </w:rPr>
        <w:t>Kav AI's reference partnerships follow a common shape — illustrated below using the partnership template that was first instantiated with a mechanical-integrity engineering firm in 2026 and is now applied with industry-appropriate engineering partners across other sectors (e.g., refractory and metals reliability specialists for steel and metals customers; power-cycle reliability specialists for power generation customers).</w:t>
      </w:r>
    </w:p>
    <w:p>
      <w:pPr>
        <w:pStyle w:val="Heading3"/>
      </w:pPr>
      <w:r>
        <w:rPr>
          <w:b w:val="0"/>
          <w:i w:val="0"/>
        </w:rPr>
        <w:t>What KAP provides</w:t>
      </w:r>
    </w:p>
    <w:p>
      <w:pPr>
        <w:spacing w:before="0" w:after="60"/>
        <w:ind w:left="504" w:hanging="288"/>
      </w:pPr>
      <w:r>
        <w:rPr>
          <w:b w:val="0"/>
        </w:rPr>
        <w:t xml:space="preserve">•  </w:t>
      </w:r>
      <w:r>
        <w:rPr>
          <w:b w:val="0"/>
          <w:i w:val="0"/>
        </w:rPr>
        <w:t>The Real-Time Integrity Intelligence System™ platform (Cloud SaaS, customer cloud tenant, or on-premise / air-gapped tier).</w:t>
      </w:r>
    </w:p>
    <w:p>
      <w:pPr>
        <w:spacing w:before="0" w:after="60"/>
        <w:ind w:left="504" w:hanging="288"/>
      </w:pPr>
      <w:r>
        <w:rPr>
          <w:b w:val="0"/>
        </w:rPr>
        <w:t xml:space="preserve">•  </w:t>
      </w:r>
      <w:r>
        <w:rPr>
          <w:b w:val="0"/>
          <w:i w:val="0"/>
        </w:rPr>
        <w:t>The 3D Gaussian Splatting facility model from the customer's existing inspection imagery.</w:t>
      </w:r>
    </w:p>
    <w:p>
      <w:pPr>
        <w:spacing w:before="0" w:after="60"/>
        <w:ind w:left="504" w:hanging="288"/>
      </w:pPr>
      <w:r>
        <w:rPr>
          <w:b w:val="0"/>
        </w:rPr>
        <w:t xml:space="preserve">•  </w:t>
      </w:r>
      <w:r>
        <w:rPr>
          <w:b w:val="0"/>
          <w:i w:val="0"/>
        </w:rPr>
        <w:t>The operating-limit / failure-mechanism six-stage analytical chain, including Stage 3.5 consistency gate and the cross-source correlation engine.</w:t>
      </w:r>
    </w:p>
    <w:p>
      <w:pPr>
        <w:spacing w:before="0" w:after="60"/>
        <w:ind w:left="504" w:hanging="288"/>
      </w:pPr>
      <w:r>
        <w:rPr>
          <w:b w:val="0"/>
        </w:rPr>
        <w:t xml:space="preserve">•  </w:t>
      </w:r>
      <w:r>
        <w:rPr>
          <w:b w:val="0"/>
          <w:i w:val="0"/>
        </w:rPr>
        <w:t>Multi-modal AI anomaly detection across RGB, thermal, specialty imagery (gas / OGI where applicable), acoustic, and operational data — surfaced through the natural-language operator interface.</w:t>
      </w:r>
    </w:p>
    <w:p>
      <w:pPr>
        <w:spacing w:before="0" w:after="60"/>
        <w:ind w:left="504" w:hanging="288"/>
      </w:pPr>
      <w:r>
        <w:rPr>
          <w:b w:val="0"/>
        </w:rPr>
        <w:t xml:space="preserve">•  </w:t>
      </w:r>
      <w:r>
        <w:rPr>
          <w:b w:val="0"/>
          <w:i w:val="0"/>
        </w:rPr>
        <w:t>The bidirectional CMMS / EAM / IDMS integration (SAP PM Q4 2026; GE Vernova APM, Hexagon ALI, IBM Maximo H1 2027).</w:t>
      </w:r>
    </w:p>
    <w:p>
      <w:pPr>
        <w:spacing w:before="0" w:after="60"/>
        <w:ind w:left="504" w:hanging="288"/>
      </w:pPr>
      <w:r>
        <w:rPr>
          <w:b w:val="0"/>
        </w:rPr>
        <w:t xml:space="preserve">•  </w:t>
      </w:r>
      <w:r>
        <w:rPr>
          <w:b w:val="0"/>
          <w:i w:val="0"/>
        </w:rPr>
        <w:t>All platform security, data-handling, and SLA commitments described in Deployment Architecture.</w:t>
      </w:r>
    </w:p>
    <w:p>
      <w:pPr>
        <w:pStyle w:val="Heading3"/>
      </w:pPr>
      <w:r>
        <w:rPr>
          <w:b w:val="0"/>
          <w:i w:val="0"/>
        </w:rPr>
        <w:t>What the partner provides</w:t>
      </w:r>
    </w:p>
    <w:p>
      <w:pPr>
        <w:spacing w:before="0" w:after="120"/>
      </w:pPr>
      <w:r>
        <w:rPr>
          <w:b w:val="0"/>
          <w:i w:val="0"/>
        </w:rPr>
        <w:t>The exact scope of partner-provided services varies by industry. The list below reflects the typical scope for a mechanical-integrity engineering partner; equivalent scopes exist for refractory / metals reliability, power-cycle reliability, and other industry-specific engineering disciplines.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Service area</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Scope of work</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Reactive engineering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Inspection result interpretation, Fitness for Service (FFS), Failure &amp; Root Cause Analysis, day-to-day materials / corrosion / welding consultation, Fire / Heat / Hazard Assessment as applicable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Inspection management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Facility Inspection Program Management, Inspection Test Plans, Special Emphasis Programs, RBI Programming, isometric drawing maintenance, IDMS / EAM Support, Mechanical Integrity Audits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Advanced NDE &amp; monitoring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Online Condition Monitoring guidance, Advanced NDE Technology Application, Inspection &amp; Reliability Standards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Materials &amp; degradation engineering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 Material Selection, Degradation Mitigation, Operating-Limit Window recommendations, Operating-Limit Deviation Response &amp; Risk Management, Failure / Damage Mechanism Reviews, Welding Engineering, Refractory Engineering (where applicable)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Engineering projects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Project Design Support (materials selection, WPS reviews, mechanical datasheets), Project Field Support, Third-Party Fabrication Inspection, Engineering Specification Development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Training &amp; auditing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Mechanical Integrity / Reliability training programs, audit support, compliance documentation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HITL validation seat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engineers serve as the Integrity / Reliability Engineer panel for Stage 3.5 / Stage 4 confirmation of Critical and Tier-2 failure mechanism findings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RBI / IDMS embedding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embeds KAP findings into the customer's existing RBI program, IDMS / EAM records, and compliance workflows under the operator's chosen RBI methodology (API 580/581/584 in hydrocarbons; ISO 31000-aligned methodologies in other sectors)</w:t>
            </w:r>
          </w:p>
        </w:tc>
      </w:tr>
    </w:tbl>
    <w:p>
      <w:pPr>
        <w:spacing w:before="40" w:after="120"/>
      </w:pPr>
    </w:p>
    <w:p>
      <w:pPr>
        <w:pStyle w:val="Heading3"/>
      </w:pPr>
      <w:r>
        <w:rPr>
          <w:b w:val="0"/>
          <w:i w:val="0"/>
        </w:rPr>
        <w:t>The integrated workflow</w:t>
      </w:r>
    </w:p>
    <w:p>
      <w:pPr>
        <w:spacing w:before="0" w:after="120"/>
      </w:pPr>
      <w:r>
        <w:rPr>
          <w:b w:val="0"/>
          <w:i w:val="0"/>
        </w:rPr>
        <w:t>The end-to-end operational workflow follows the operating-limit / failure-mechanism six-stage analytical chain documented in the Integrity Analytical Chain section, with the partner explicitly placed at the Stage 3.5 / Stage 4 review seat: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Stage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KAP responsibility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Partner responsibility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1–2: Ingestion &amp; QC, operating-limit classification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Multi-source data normalized and QC'd; ±500 ms timestamp alignment; operational readings compared against operating-limit definitions and scored by duration × intensity to prevent alarm fatigue.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 Failure mechanism mapping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Mechanisms mapped per the industry knowledge pack; Filter Skill rejects implausible mechanisms; Boundary of Automation auto-flags standard mechanisms while complex ones (e.g., HIC, NH₄Cl underdeposit, Creep, complex hydrogen-related degradation) are routed to partner review.</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Reviews complex / Tier-2 mechanisms; sign-off on auto-flagged outputs at agreed cadence.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3.5: Consistency gate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Three-way check: material-mechanism, rate-mechanism, evidence consistency, with cross-source correlation engine output as input.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Disposition for any </w:t>
            </w:r>
            <w:r>
              <w:rPr>
                <w:rFonts w:ascii="Arial" w:hAnsi="Arial"/>
                <w:b/>
                <w:i w:val="0"/>
                <w:color w:val="111111"/>
                <w:sz w:val="20"/>
              </w:rPr>
              <w:t>"INCONSISTENT — ENGINEERING REVIEW REQUIRED"</w:t>
            </w:r>
            <w:r>
              <w:rPr>
                <w:rFonts w:ascii="Arial" w:hAnsi="Arial"/>
                <w:b w:val="0"/>
                <w:i w:val="0"/>
                <w:color w:val="111111"/>
                <w:sz w:val="20"/>
              </w:rPr>
              <w:t xml:space="preserve"> flag before chain continues.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4: Physical 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Cross-references AI findings with thickness measurements, thermal scans, specialty imagery, and robot-sourced thermal / acoustic / gas patrol evidence.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Validates AI findings against ground-truth NDT; advises on revised inspection technique if needed.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5: Risk quantification &amp; remaining life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RBI PoF × CoF; P90 Remaining Life with uncertainty bounds; benchmarked financial CoF using the operator's chosen reliability benchmarking framework.</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 review of final risk score and inspection interval before commitment.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6: Corrective action surfacing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Prioritized inspection plan and structured CMMS / EAM / IDMS write packet.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Confirms work-order content, escalation routing, and outage / shutdown alignment.</w:t>
            </w:r>
          </w:p>
        </w:tc>
      </w:tr>
    </w:tbl>
    <w:p>
      <w:pPr>
        <w:spacing w:before="40" w:after="120"/>
      </w:pPr>
    </w:p>
    <w:p>
      <w:pPr>
        <w:spacing w:before="0" w:after="120"/>
      </w:pPr>
      <w:r>
        <w:rPr>
          <w:b w:val="0"/>
          <w:i w:val="0"/>
        </w:rPr>
        <w:t>All outputs are recommendations to a qualified human operator. KAP never writes to the control system, never issues work orders autonomously, and never commands field equipment. Read-only enforcement is technical — OPC UA access rights restricted to Read / Subscribe; DMZ proxy rejects all Write / Call requests; firewall TCP/IP port restriction (4840 / 4843).</w:t>
      </w:r>
    </w:p>
    <w:p>
      <w:pPr>
        <w:pStyle w:val="Heading2"/>
      </w:pPr>
      <w:r>
        <w:rPr>
          <w:b w:val="0"/>
          <w:i w:val="0"/>
        </w:rPr>
        <w:t>Commercial framework for partner-integrated engagements</w:t>
      </w:r>
    </w:p>
    <w:p>
      <w:pPr>
        <w:spacing w:before="0" w:after="120"/>
      </w:pPr>
      <w:r>
        <w:rPr>
          <w:b w:val="0"/>
          <w:i w:val="0"/>
        </w:rPr>
        <w:t>The pilot framework, MSA framework, and subscription tiers in Appendices G and H apply unchanged in a partner-integrated engagement. The only commercial additions are: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Topic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Treatment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Procurement vehicle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 integrated proposal covering KAP subscription and partner engineering services. Customer may still elect to contract separately by request.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Pilot fee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90-day fixed-fee pilot, applied as credit against Year 1 subscription if the customer proceeds. Partner engineering hours scoped separately.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Liability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KAP liability cap remains as documented in MSA H.1. Partner liability follows the partner's own engineering services agreement.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ownership</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facility data and inspection imagery remains the customer's property. KAP and partner each hold limited processing licenses for their respective scopes.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HITL seat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Documented as a partner deliverable in the integrated proposal so that the customer's procurement and audit teams can see who owns the engineer sign-off.</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Path to production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If pilot success criteria are met, the customer receives a production proposal — KAP plus partner — within 10 business days of the evaluation meeting.</w:t>
            </w:r>
          </w:p>
        </w:tc>
      </w:tr>
    </w:tbl>
    <w:p>
      <w:pPr>
        <w:spacing w:before="40" w:after="120"/>
      </w:pPr>
    </w:p>
    <w:p>
      <w:pPr>
        <w:pStyle w:val="Heading2"/>
      </w:pPr>
      <w:r>
        <w:rPr>
          <w:b w:val="0"/>
          <w:i w:val="0"/>
        </w:rPr>
        <w:t>Where this connects in the rest of the PRD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Topic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Where it lives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Pilot framework — 90-day timeline, success criteria, responsibilities matrix</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Appendix 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MSA framework — liability cap, decision-support disclaimer, data ownership</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Appendix H</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Subscription tiers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Appendix H.2</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Operational workflow — Triage-to-Escalation Path that the partner sits inside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Operational Workflow — Anomaly-to-Action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Integrity Analytical Chain — six-stage chain that the partner co-owns from Stage 3.5</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Analytical Chain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Boundary of Automation — what partners must review by design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Analytical Chain — FR-RBI-02</w:t>
            </w:r>
          </w:p>
        </w:tc>
      </w:tr>
    </w:tbl>
    <w:p>
      <w:pPr>
        <w:spacing w:before="40" w:after="120"/>
      </w:pPr>
    </w:p>
    <w:p>
      <w:pPr>
        <w:pStyle w:val="Heading1"/>
      </w:pPr>
      <w:r>
        <w:rPr>
          <w:b w:val="0"/>
          <w:i w:val="0"/>
        </w:rPr>
        <w:t>Appendix A. Feature Summary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560"/>
        <w:gridCol w:w="1560"/>
        <w:gridCol w:w="1560"/>
        <w:gridCol w:w="1560"/>
        <w:gridCol w:w="1560"/>
        <w:gridCol w:w="1560"/>
      </w:tblGrid>
      <w:tr>
        <w:tc>
          <w:tcPr>
            <w:tcW w:w="156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FR</w:t>
            </w:r>
          </w:p>
        </w:tc>
        <w:tc>
          <w:tcPr>
            <w:tcW w:w="156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Feature</w:t>
            </w:r>
          </w:p>
        </w:tc>
        <w:tc>
          <w:tcPr>
            <w:tcW w:w="156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Area</w:t>
            </w:r>
          </w:p>
        </w:tc>
        <w:tc>
          <w:tcPr>
            <w:tcW w:w="156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Quarter</w:t>
            </w:r>
          </w:p>
        </w:tc>
        <w:tc>
          <w:tcPr>
            <w:tcW w:w="156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Type</w:t>
            </w:r>
          </w:p>
        </w:tc>
        <w:tc>
          <w:tcPr>
            <w:tcW w:w="156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Priority</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FR-VIS-01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CAD model overlay</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FR-VIS-02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Geo-tagged assets &amp; images in 3D</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Ph.0 — single-turn NL query (classify → SQL execute → report) over workspace data</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Agent failure recovery — Supabase RLS/timeout, Gemini rate-limit/timeout, JWT expiry, and blob-storage retry handled without pipeline crash</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chat agent evaluation gate — classifier/executor/reporter accuracy benchmarks required before ship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Persona-tailored workspace chat scoping — Data Explorer vs Integrity Engineer chat views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FR-APP-16</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chat SQL-injection &amp; malicious-input defense — DML/DDL blocking, injection-pattern rejection, workspace-scoped query firewall</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Ph.1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Chat with 3D map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Interactive overlays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FR-APP-06</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Automated reports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FR-SCN-01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OGI sensor ingestion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FR-SCN-02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Calibrated thermal ingestion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FR-SCN-03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Gas sensor ingestion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control-system / historian connector</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P&amp;ID database (SQL) connector — direct read (distinct from DEXPI ingestion, FR-CAD-06)</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IDMS / EAM bidirectional integration specification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SAP PM certified connector</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Cross-modal anomaly detection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Research</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Physical AI reasoning &amp; remediation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Research</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FR-MDA-01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Industry RAM benchmarking integration (Solomon for hydrocarbons; equivalents for power, metals, pulp &amp; paper, chemicals)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FR-MDA-02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Synthetic data generation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Research</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SOC 2 Type II certification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cloud tenant deployment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Compliance management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FR-NAV-01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spatial navigation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FR-RBI-01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RBI inspection interval calculation (API 581 in hydrocarbons; ISO 31000-aligned methodologies in other sectors)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FR-RBI-02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Equipment class boundary of automation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Filter Skill calibration &amp; FNR measurement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Confidence score calibration protocol</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Chain-level consistency gate (Stage 3.5)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OOD detector update cadence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KRSI robot ingestion adapter</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 infrastructure: navigation beacons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 infrastructure: communication backbone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Coverage orchestration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Fleet intelligence analytics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 / 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CAD geometry via open IFC4 (BIM STEP) standard</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CAD version tracking and diff visualization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As-built vs as-designed comparison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 change notification</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Cross-source correlation engine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FR-CAD-06</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DEXPI open-standard P&amp;ID ingestion (equipment, nozzles, piping, connectivity)</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Deterministic dual-tagging (legacy CAD ↔ operator / DEXPI tags) with asset cross-reference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FR-CAD-08</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Additional CAD formats (RVT / DGN) beyond IFC4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FR-NUC-01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Hazard-aware inspection workflow (dose, heat, hot / molten material, hazardous-area gas, confined space)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FR-XSC-01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Cross-source correlation engine — promoted to named primitive (tag / match / score / surface)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FR-XSC-02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Multi-source confirmed TPR &gt; 98% / FPR &lt; 2% target reporting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FR-PRT-01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Partner-integrated delivery model — single procurement vehicle, partner-provided HITL seat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 / Commercial</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FR-PRT-02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Reference partnership — integrated proposal template (industry-appropriate engineering partner)</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Commercial</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FR-APP-07</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Web-based 3D inspection viewer (Cesium geospatial scene)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FR-APP-08</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dashboard — organization / campaign / anomaly overview</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FR-APP-09</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Visual defect gallery — geo-tagged imagery, annotations &amp; anomaly bounding boxes</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FR-EVI-01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RGB inspection imagery ingestion — EXIF / GPS provenance &amp; dataset scoping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FR-SEC-04</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Multi-tenant authentication &amp; workspace access control</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FR-APP-10</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Automated agentic task coordination — multi-agent orchestration (planner / executor, tool routing)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FR-EVI-02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Multimodal evidence pipeline foundation — thermal / OGI / gas ingest (prototype)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First-generation AI chat assistant — natural-language query over inspection data (early, not-yet-reliable prototype)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Gas measurement visualization — sensor-reading heatmap overlay on the 3D scene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Provenance-cited chat answers — citations &amp; tool-execution timeline</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r>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FR-OPS-01</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Work-order / recommendation export — markdown + CSV</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56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r>
    </w:tbl>
    <w:p>
      <w:pPr>
        <w:spacing w:before="40" w:after="120"/>
      </w:pPr>
    </w:p>
    <w:p>
      <w:pPr>
        <w:spacing w:before="40" w:after="160"/>
        <w:jc w:val="left"/>
      </w:pPr>
      <w:r>
        <w:rPr>
          <w:i/>
          <w:color w:val="666666"/>
          <w:sz w:val="19"/>
        </w:rPr>
        <w:t>Q4* = research-dependent, contingent on Q2 spike outcomes.</w:t>
      </w:r>
    </w:p>
    <w:p>
      <w:pPr>
        <w:pStyle w:val="Heading1"/>
      </w:pPr>
      <w:r>
        <w:rPr>
          <w:b w:val="0"/>
          <w:i w:val="0"/>
        </w:rPr>
        <w:t>Appendix B. Research Classification and Spike Objectives</w:t>
      </w:r>
    </w:p>
    <w:p>
      <w:pPr>
        <w:spacing w:before="0" w:after="120"/>
      </w:pPr>
      <w:r>
        <w:rPr>
          <w:b w:val="0"/>
          <w:i w:val="0"/>
        </w:rPr>
        <w:t>Features classified as "research-dependent" follow a structured validation protocol before engineering commitment.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Feature ID</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Spike Objective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Success Metric</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Fallback</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Test Vision Transformer (ViT) vs. CNN on sparse specialty-imagery / thermal defect data.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TPR &gt; 85% at FPR &lt; 15% on M0/M1 benchmark.</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Defer to Q1 2027; rely on manual triage.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Prototype RAG (Retrieval-Augmented Generation) vs. Structured Output Schemas for industry knowledge-pack remediation logic.</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90% agreement with human Integrity / Reliability Engineer panel.</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Descriptive reporting only; no remediation advice.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FR-MDA-02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Evaluate physics-based simulation (e.g., thermal, gas plume, abrasion) for synthetic data generation in the relevant industry.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Frechet Inception Distance (FID) &lt; 50 on real vs synthetic.</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Manual labeling of third inspection campaign data.</w:t>
            </w:r>
          </w:p>
        </w:tc>
      </w:tr>
    </w:tbl>
    <w:p>
      <w:pPr>
        <w:spacing w:before="40" w:after="120"/>
      </w:pPr>
    </w:p>
    <w:p>
      <w:pPr>
        <w:pStyle w:val="Heading1"/>
      </w:pPr>
      <w:r>
        <w:rPr>
          <w:b w:val="0"/>
          <w:i w:val="0"/>
        </w:rPr>
        <w:t>Appendix C. Non-Functional Requirements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Category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Requirement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query response time (P95)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3 seconds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model rendering (GTX 1660+)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60 fps sustained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Scalability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Concurrent operators per facility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50 concurrent sessions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Security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Authentication and data isolation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Multi-tenant RLS; JWT with short-lived tokens; SOC 2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Reliability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 availability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99.5% uptime (excluding planned maintenance)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Deployment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On-premise / air-gapped operation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offline operation in on-premise tier (H1 2027)</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Navigation accuracy with fixed beacons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Within 10cm of onboard baseline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Communication backbone uptime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99.5% across patrol zones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Cross-source correlation latency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60 seconds per finding</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Scalability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High-endurance telemetry session duration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6 hours continuous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Regulated environments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Lifetime data retention profile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Supported for facility-lifetime retention deployments</w:t>
            </w:r>
          </w:p>
        </w:tc>
      </w:tr>
    </w:tbl>
    <w:p>
      <w:pPr>
        <w:spacing w:before="40" w:after="120"/>
      </w:pPr>
    </w:p>
    <w:p>
      <w:pPr>
        <w:pStyle w:val="Heading1"/>
      </w:pPr>
      <w:r>
        <w:rPr>
          <w:b w:val="0"/>
          <w:i w:val="0"/>
        </w:rPr>
        <w:t>Appendix D. Version History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Version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Summary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v1.0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Feb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Initial PRD — product overview, personas, and feature list.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Feb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feature cards for all 17 FRs, 9 sections, priority and phasing.</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Added Research vs. Engineering classification, spike recommendations.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Added disclaimer, complexity scoring, sorted summary table, document scope statement.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v2.3</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document restructure for executive and investor audience. Industry-agnostic reframing. Added SCADA competitor category. Roadmap extended to Q2–Q4 2026. Engineering detail moved to Technical Appendix.</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Added cover taglines. Named OPC UA as the Q3 SCADA integration protocol. Added OPC UA licensing open question. Added OPC UA, Historian, and SCADA to glossary.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Incorporated industry expert integrity review feedback. Added SCADA-to-risk closed-loop analytical chain (IOWs, DMRs, physical validation, risk scoring, remaining-life estimates). Added Solomon Associates benchmarking. Added DMR, IOW, and Solomon Associates to glossary.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Enterprise procurement edition. Added Section 5 (IOW/DMR chain with named architectural owner — the Data Retrieval Agent). Added Section 6 (deployment architecture: cloud SaaS, customer cloud tenant, on-premise/air-gapped tiers with IEC 62443 and OT/IT boundary design). Expanded competitive analysis to include Emerson Plantweb Optics/AMS, Hexagon ALI, and Aucerna. Added primary source citations for all market statistics. Added FR-SEC-02 (customer cloud tenant deployment) and FR-SEC-03 (compliance management) to feature summary.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v2.7</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Expert Review Panel edition. Incorporated feedback from 8 expert personas. Added Section 5.3 (Analytical Rigor &amp; Confidence). Added Section 7 (Operational Workflow). Detailled protocol-level read-only enforcement and SCADA failure modes. Updated competitive landscape with Percepto, Hexagon ALI, and Aucerna refinements. Added AI safety and confidence scoring requirements. Added L1 Context Diagram (Figure 1) inline in Section 1 and L2 Container Diagram (Figure 5) inline in Section 5, both using C4 model convention.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v2.8</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Chain Completion edition. Addresses four gaps from v2.7 expert review panel: (1) RBI — inspection plan output schema (FR-RBI-01), equipment class boundary of automation (FR-RBI-02), API 581 inspection interval calculation added to Stage 5, consistency gate added as Stage 3.5; (2) IDMS integration — bidirectional integration specification (FR-INT-03), SAP PM certified connector (FR-INT-04), orKsoft coexistence architecture; (3) Competitive positioning — orKsoft added to competitive table, Meridium added, Cognite risk response sharpened with concrete moat strategy, primary competitor benchmark reframed; (4) AI reliability — Filter Skill FPR/FNR targets (FR-AI-01), confidence calibration protocol (FR-AI-02), chain-level consistency gate (FR-AI-03), OOD update cadence (FR-AI-04). Calibrated PoF transition now defined by minimum dataset trigger.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v2.9</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Strategic Positioning edition. Addresses six gaps from v2.9 executive review: (1) Category definition — Kav AI explicitly defined as a </w:t>
            </w:r>
            <w:r>
              <w:rPr>
                <w:rFonts w:ascii="Arial" w:hAnsi="Arial"/>
                <w:b w:val="0"/>
                <w:i/>
                <w:color w:val="111111"/>
                <w:sz w:val="20"/>
              </w:rPr>
              <w:t>Real-Time Integrity Intelligence System</w:t>
            </w:r>
            <w:r>
              <w:rPr>
                <w:rFonts w:ascii="Arial" w:hAnsi="Arial"/>
                <w:b w:val="0"/>
                <w:i w:val="0"/>
                <w:color w:val="111111"/>
                <w:sz w:val="20"/>
              </w:rPr>
              <w:t>, establishing a new product category; (2) Competitive moat — dedicated section in Executive Summary consolidating four pillars: closed-loop intelligence, data flywheel, deployment speed, end-to-end hardware-agnostic solution; (3) Data flywheel — elevated from buried competitive mention to standalone section with compounding model performance narrative and pricing alignment; (4) Differentiation language — closed-loop between process data, physics-based models, risk quantification, and recommended action made unmistakable throughout; (5) Industry focus — narrowed from industry-agnostic to refinery and petrochemical beachhead with phased expansion roadmap; (6) Naming standardization — unified from "Kav AI" / "KAP" variants to "Kav AI" across all sections. Executive Summary rewritten with stronger category-defining positioning. Subtitle updated to "Real-Time Integrity Intelligence System™".</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Strategic integration edition. Uses v2.9 as the narrative and diagrammatic baseline, restores the full visual layer that was reduced in v3.1, and incorporates the most material platform additions from later work: autonomous robot coverage via KRSI and fixed infrastructure, expanded CAD / engineering-data ingestion, world-model-backed as-built comparison, cross-source correlation, and regulated-environment deployment considerations.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v3.3</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Active Physical Intelligence edition. Keeps the v3.2 backbone, integrity architecture, and safety model intact. Consolidates external-facing material that matured between v3.2 and late April 2026: (1) </w:t>
            </w:r>
            <w:r>
              <w:rPr>
                <w:rFonts w:ascii="Arial" w:hAnsi="Arial"/>
                <w:b/>
                <w:i w:val="0"/>
                <w:color w:val="111111"/>
                <w:sz w:val="20"/>
              </w:rPr>
              <w:t>Active Physical Intelligence™</w:t>
            </w:r>
            <w:r>
              <w:rPr>
                <w:rFonts w:ascii="Arial" w:hAnsi="Arial"/>
                <w:b w:val="0"/>
                <w:i w:val="0"/>
                <w:color w:val="111111"/>
                <w:sz w:val="20"/>
              </w:rPr>
              <w:t xml:space="preserve"> adopted alongside the Real-Time Integrity Intelligence System™ category definition; (2) </w:t>
            </w:r>
            <w:r>
              <w:rPr>
                <w:rFonts w:ascii="Arial" w:hAnsi="Arial"/>
                <w:b/>
                <w:i w:val="0"/>
                <w:color w:val="111111"/>
                <w:sz w:val="20"/>
              </w:rPr>
              <w:t>Scale &amp; Impact</w:t>
            </w:r>
            <w:r>
              <w:rPr>
                <w:rFonts w:ascii="Arial" w:hAnsi="Arial"/>
                <w:b w:val="0"/>
                <w:i w:val="0"/>
                <w:color w:val="111111"/>
                <w:sz w:val="20"/>
              </w:rPr>
              <w:t xml:space="preserve"> promoted to a dedicated section with MVP v0.2 facility-scale evidence (1,200 assets, 65% unit coverage, $750K–$1.5M avoided cost, ranked inspection set, CUI case study); (3) </w:t>
            </w:r>
            <w:r>
              <w:rPr>
                <w:rFonts w:ascii="Arial" w:hAnsi="Arial"/>
                <w:b/>
                <w:i w:val="0"/>
                <w:color w:val="111111"/>
                <w:sz w:val="20"/>
              </w:rPr>
              <w:t>cross-source correlation engine</w:t>
            </w:r>
            <w:r>
              <w:rPr>
                <w:rFonts w:ascii="Arial" w:hAnsi="Arial"/>
                <w:b w:val="0"/>
                <w:i w:val="0"/>
                <w:color w:val="111111"/>
                <w:sz w:val="20"/>
              </w:rPr>
              <w:t xml:space="preserve"> promoted from buried mention to named primitive (tag / match / score / surface) with explicit multi-source confirmed TPR &gt; 98% / FPR &lt; 2% target; (4) </w:t>
            </w:r>
            <w:r>
              <w:rPr>
                <w:rFonts w:ascii="Arial" w:hAnsi="Arial"/>
                <w:b/>
                <w:i w:val="0"/>
                <w:color w:val="111111"/>
                <w:sz w:val="20"/>
              </w:rPr>
              <w:t>Onboard SLAM vs Fixed Infrastructure</w:t>
            </w:r>
            <w:r>
              <w:rPr>
                <w:rFonts w:ascii="Arial" w:hAnsi="Arial"/>
                <w:b w:val="0"/>
                <w:i w:val="0"/>
                <w:color w:val="111111"/>
                <w:sz w:val="20"/>
              </w:rPr>
              <w:t xml:space="preserve"> architectural-shift table added to clarify navigation reliability, scaling cost, and registration accuracy; (5) </w:t>
            </w:r>
            <w:r>
              <w:rPr>
                <w:rFonts w:ascii="Arial" w:hAnsi="Arial"/>
                <w:b/>
                <w:i w:val="0"/>
                <w:color w:val="111111"/>
                <w:sz w:val="20"/>
              </w:rPr>
              <w:t>Partner-Integrated Delivery Model</w:t>
            </w:r>
            <w:r>
              <w:rPr>
                <w:rFonts w:ascii="Arial" w:hAnsi="Arial"/>
                <w:b w:val="0"/>
                <w:i w:val="0"/>
                <w:color w:val="111111"/>
                <w:sz w:val="20"/>
              </w:rPr>
              <w:t xml:space="preserve"> added as a documented procurement option; (6) </w:t>
            </w:r>
            <w:r>
              <w:rPr>
                <w:rFonts w:ascii="Arial" w:hAnsi="Arial"/>
                <w:b/>
                <w:i w:val="0"/>
                <w:color w:val="111111"/>
                <w:sz w:val="20"/>
              </w:rPr>
              <w:t>MVP demonstration sequence</w:t>
            </w:r>
            <w:r>
              <w:rPr>
                <w:rFonts w:ascii="Arial" w:hAnsi="Arial"/>
                <w:b w:val="0"/>
                <w:i w:val="0"/>
                <w:color w:val="111111"/>
                <w:sz w:val="20"/>
              </w:rPr>
              <w:t xml:space="preserve"> explicitly mapped onto M0–M3 platform milestones; (7) priority order </w:t>
            </w:r>
            <w:r>
              <w:rPr>
                <w:rFonts w:ascii="Arial" w:hAnsi="Arial"/>
                <w:b/>
                <w:i w:val="0"/>
                <w:color w:val="111111"/>
                <w:sz w:val="20"/>
              </w:rPr>
              <w:t>Filter Skill &gt; Stage 3.5 &gt; cross-source uplift</w:t>
            </w:r>
            <w:r>
              <w:rPr>
                <w:rFonts w:ascii="Arial" w:hAnsi="Arial"/>
                <w:b w:val="0"/>
                <w:i w:val="0"/>
                <w:color w:val="111111"/>
                <w:sz w:val="20"/>
              </w:rPr>
              <w:t xml:space="preserve"> restated to prevent misreading the correlation engine as a Filter Skill bypass; (8) </w:t>
            </w:r>
            <w:r>
              <w:rPr>
                <w:rFonts w:ascii="Arial" w:hAnsi="Arial"/>
                <w:b/>
                <w:i w:val="0"/>
                <w:color w:val="111111"/>
                <w:sz w:val="20"/>
              </w:rPr>
              <w:t>terminology</w:t>
            </w:r>
            <w:r>
              <w:rPr>
                <w:rFonts w:ascii="Arial" w:hAnsi="Arial"/>
                <w:b w:val="0"/>
                <w:i w:val="0"/>
                <w:color w:val="111111"/>
                <w:sz w:val="20"/>
              </w:rPr>
              <w:t xml:space="preserve"> — the asset-level spatial record previously referred to as "digital twin" is renamed </w:t>
            </w:r>
            <w:r>
              <w:rPr>
                <w:rFonts w:ascii="Arial" w:hAnsi="Arial"/>
                <w:b/>
                <w:i w:val="0"/>
                <w:color w:val="111111"/>
                <w:sz w:val="20"/>
              </w:rPr>
              <w:t>world model</w:t>
            </w:r>
            <w:r>
              <w:rPr>
                <w:rFonts w:ascii="Arial" w:hAnsi="Arial"/>
                <w:b w:val="0"/>
                <w:i w:val="0"/>
                <w:color w:val="111111"/>
                <w:sz w:val="20"/>
              </w:rPr>
              <w:t xml:space="preserve"> throughout the document (competitor product references, e.g. NVIDIA Omniverse "industrial digital twins", retain their original wording). New FRs: FR-XSC-01, FR-XSC-02, FR-PRT-01, FR-PRT-02, FR-MVP-01.</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v3.4.g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May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General Industry procurement-readiness edition.</w:t>
            </w:r>
            <w:r>
              <w:rPr>
                <w:rFonts w:ascii="Arial" w:hAnsi="Arial"/>
                <w:b w:val="0"/>
                <w:i w:val="0"/>
                <w:color w:val="111111"/>
                <w:sz w:val="20"/>
              </w:rPr>
              <w:t xml:space="preserve"> Same architecture, milestones, safety model, and feature set as v3.4, presented in industry-neutral terms suitable for steel and metals, power generation, chemicals, pulp &amp; paper, cement, mining and minerals, and other process / heavy-manufacturing operators. Keeps the v3.4 procurement-readiness posture while adapting the market and competitive sections for steel: (1) beachhead positioning broadened from "downstream oil and gas" to asset-intensive industries with industry-specific knowledge packs configured per customer; (2) "IOW / DMR" terminology generalized to "operating-limit / failure-mechanism (OLW / FMR)" with hydrocarbons-specific terminology retained as illustrative examples rather than scope definitions; (3) RBI methodology references re-anchored on the operator's chosen RBI / inspection methodology; (4) industry RAM benchmarking generalized beyond Solomon Associates; (5) representative case study generalized to insulated / refractory-lined process equipment with steel-industry parallels; (6) competitive landscape rebalanced around AVEVA APM + PI System as the primary named steel incumbent and integration source; (7) sample equipment list expanded to include steel, power, pulp &amp; paper, cement, and mining assets; (8) deployment-architecture and connector lists expanded to call out heavy-industry control-system vendors alongside the original list.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v3.5.g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Roadmap timing revision (Q3 planning, 2026-06-11). </w:t>
            </w:r>
            <w:r>
              <w:rPr>
                <w:rFonts w:ascii="Arial" w:hAnsi="Arial"/>
                <w:b/>
                <w:i w:val="0"/>
                <w:color w:val="111111"/>
                <w:sz w:val="20"/>
              </w:rPr>
              <w:t>Control-system/OPC UA integration and the OLW/FMR analytical chain moved from Q3 to Q4 2026</w:t>
            </w:r>
            <w:r>
              <w:rPr>
                <w:rFonts w:ascii="Arial" w:hAnsi="Arial"/>
                <w:b w:val="0"/>
                <w:i w:val="0"/>
                <w:color w:val="111111"/>
                <w:sz w:val="20"/>
              </w:rPr>
              <w:t xml:space="preserve"> — pilot operational-data access is not yet in place; Q3 secures that access so Q4 delivery starts warm. FR-INT-01, the glossary, the OPC UA qualification-scope note, the packaging table, and the Integrity Analytical Chain availability statements relabelled Q3 → Q4. CAD (IFC) ingestion and P&amp;ID tag-linkage pulled forward into Q3. No requirement content changed — timing only.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v3.6.g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Accuracy &amp; open-standards precision revision (based on the v3.5 review), General Industry edition. (1) </w:t>
            </w:r>
            <w:r>
              <w:rPr>
                <w:rFonts w:ascii="Arial" w:hAnsi="Arial"/>
                <w:b/>
                <w:i w:val="0"/>
                <w:color w:val="111111"/>
                <w:sz w:val="20"/>
              </w:rPr>
              <w:t>CAD/P&amp;ID open standards named and elevated</w:t>
            </w:r>
            <w:r>
              <w:rPr>
                <w:rFonts w:ascii="Arial" w:hAnsi="Arial"/>
                <w:b w:val="0"/>
                <w:i w:val="0"/>
                <w:color w:val="111111"/>
                <w:sz w:val="20"/>
              </w:rPr>
              <w:t xml:space="preserve"> — the engineering-context layer now explicitly names IFC4 (BIM STEP) for physical geometry and DEXPI (XML) for logical P&amp;IDs, adds a deterministic dual-tagging layer reconciling legacy CAD tags with operator/DEXPI tags, and records 100% validation coverage on one example process unit (109 equipment assets). New FRs FR-CAD-06 (DEXPI ingestion), FR-CAD-07 (dual-tagging), and FR-CAD-08 (RVT/DGN); FR-CAD-01 re-scoped to IFC4 (validated); FR-INT-02 clarified as the P&amp;ID database (SQL) connector, distinct from DEXPI. Added DEXPI and IFC glossary entries and a Q3 ingestion row in the Journey section. No requirement scope or roadmap timing changed beyond naming and status precision. (2) </w:t>
            </w:r>
            <w:r>
              <w:rPr>
                <w:rFonts w:ascii="Arial" w:hAnsi="Arial"/>
                <w:b/>
                <w:i w:val="0"/>
                <w:color w:val="111111"/>
                <w:sz w:val="20"/>
              </w:rPr>
              <w:t>Operating-limit consistency fix</w:t>
            </w:r>
            <w:r>
              <w:rPr>
                <w:rFonts w:ascii="Arial" w:hAnsi="Arial"/>
                <w:b w:val="0"/>
                <w:i w:val="0"/>
                <w:color w:val="111111"/>
                <w:sz w:val="20"/>
              </w:rPr>
              <w:t xml:space="preserve"> — the Operations performance-target table still listed operating-limit (control-system) detection as a Q2 2026 target (a v3.5 oversight when control-system / OPC UA integration moved to Q4); relabelled to Q4 2026 to match FR-INT-01, the Journey time-series row, and the Integrity Analytical Chain. The main-edition geographic correction does not apply — the General Industry edition is already location- and sector-neutral.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v3.7.g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Execution-layer &amp; architecture-diagram revision (closes the v3.6 deferred items). (1) </w:t>
            </w:r>
            <w:r>
              <w:rPr>
                <w:rFonts w:ascii="Arial" w:hAnsi="Arial"/>
                <w:b/>
                <w:i w:val="0"/>
                <w:color w:val="111111"/>
                <w:sz w:val="20"/>
              </w:rPr>
              <w:t>Capability architecture wired in</w:t>
            </w:r>
            <w:r>
              <w:rPr>
                <w:rFonts w:ascii="Arial" w:hAnsi="Arial"/>
                <w:b w:val="0"/>
                <w:i w:val="0"/>
                <w:color w:val="111111"/>
                <w:sz w:val="20"/>
              </w:rPr>
              <w:t xml:space="preserve"> — added the canonical capability catalogue (_data/capabilities.yaml: the five deep modules + cross-cutting concerns) and stamped every FR with a capability:, linted for requirement→capability traceability. (2) </w:t>
            </w:r>
            <w:r>
              <w:rPr>
                <w:rFonts w:ascii="Arial" w:hAnsi="Arial"/>
                <w:b/>
                <w:i w:val="0"/>
                <w:color w:val="111111"/>
                <w:sz w:val="20"/>
              </w:rPr>
              <w:t>Architecture diagrams regenerated</w:t>
            </w:r>
            <w:r>
              <w:rPr>
                <w:rFonts w:ascii="Arial" w:hAnsi="Arial"/>
                <w:b w:val="0"/>
                <w:i w:val="0"/>
                <w:color w:val="111111"/>
                <w:sz w:val="20"/>
              </w:rPr>
              <w:t xml:space="preserve"> — replaced the orphaned L1/L2 PNGs with generator-sourced C4 diagrams (System Context, Container) keyed to the capabilities; added the June 2026 architecture review and a capability-progress infographic. (3) </w:t>
            </w:r>
            <w:r>
              <w:rPr>
                <w:rFonts w:ascii="Arial" w:hAnsi="Arial"/>
                <w:b/>
                <w:i w:val="0"/>
                <w:color w:val="111111"/>
                <w:sz w:val="20"/>
              </w:rPr>
              <w:t>Open-questions register</w:t>
            </w:r>
            <w:r>
              <w:rPr>
                <w:rFonts w:ascii="Arial" w:hAnsi="Arial"/>
                <w:b w:val="0"/>
                <w:i w:val="0"/>
                <w:color w:val="111111"/>
                <w:sz w:val="20"/>
              </w:rPr>
              <w:t xml:space="preserve"> added, consolidating previously scattered unknowns (TBDs, provisional values, research-gated fallbacks). (4) </w:t>
            </w:r>
            <w:r>
              <w:rPr>
                <w:rFonts w:ascii="Arial" w:hAnsi="Arial"/>
                <w:b/>
                <w:i w:val="0"/>
                <w:color w:val="111111"/>
                <w:sz w:val="20"/>
              </w:rPr>
              <w:t>FR-ANO-02 re-tiered Critical → High</w:t>
            </w:r>
            <w:r>
              <w:rPr>
                <w:rFonts w:ascii="Arial" w:hAnsi="Arial"/>
                <w:b w:val="0"/>
                <w:i w:val="0"/>
                <w:color w:val="111111"/>
                <w:sz w:val="20"/>
              </w:rPr>
              <w:t xml:space="preserve"> — it was both Critical and research-gated; the Critical set drops from 7 to 6. (5) </w:t>
            </w:r>
            <w:r>
              <w:rPr>
                <w:rFonts w:ascii="Arial" w:hAnsi="Arial"/>
                <w:b/>
                <w:i w:val="0"/>
                <w:color w:val="111111"/>
                <w:sz w:val="20"/>
              </w:rPr>
              <w:t>Execution companions completed</w:t>
            </w:r>
            <w:r>
              <w:rPr>
                <w:rFonts w:ascii="Arial" w:hAnsi="Arial"/>
                <w:b w:val="0"/>
                <w:i w:val="0"/>
                <w:color w:val="111111"/>
                <w:sz w:val="20"/>
              </w:rPr>
              <w:t xml:space="preserve"> — user stories with Given/When/Then acceptance criteria now cover all 48 FRs; the product-metrics plan promoted to Living. No requirement scope or roadmap timing changed.</w:t>
            </w:r>
          </w:p>
        </w:tc>
      </w:tr>
    </w:tbl>
    <w:p>
      <w:pPr>
        <w:spacing w:before="40" w:after="120"/>
      </w:pPr>
    </w:p>
    <w:p>
      <w:pPr>
        <w:pStyle w:val="Heading1"/>
      </w:pPr>
      <w:r>
        <w:rPr>
          <w:b w:val="0"/>
          <w:i w:val="0"/>
        </w:rPr>
        <w:t>Appendix E. Glossary</w:t>
      </w:r>
    </w:p>
    <w:p>
      <w:pPr>
        <w:spacing w:before="0" w:after="120"/>
      </w:pPr>
      <w:r>
        <w:rPr>
          <w:b/>
          <w:i w:val="0"/>
        </w:rPr>
        <w:t>3DGS</w:t>
      </w:r>
      <w:r>
        <w:rPr>
          <w:b w:val="0"/>
          <w:i w:val="0"/>
        </w:rPr>
        <w:t xml:space="preserve">  3D Gaussian Splatting — a photorealistic 3D rendering technique used to create navigable facility models from drone imagery.</w:t>
      </w:r>
    </w:p>
    <w:p>
      <w:pPr>
        <w:spacing w:before="0" w:after="120"/>
      </w:pPr>
      <w:r>
        <w:rPr>
          <w:b/>
          <w:i w:val="0"/>
        </w:rPr>
        <w:t>ADR</w:t>
      </w:r>
      <w:r>
        <w:rPr>
          <w:b w:val="0"/>
          <w:i w:val="0"/>
        </w:rPr>
        <w:t xml:space="preserve">  Architecture Decision Record — a formal document capturing a technical decision, its rationale, and consequences.</w:t>
      </w:r>
    </w:p>
    <w:p>
      <w:pPr>
        <w:spacing w:before="0" w:after="120"/>
      </w:pPr>
      <w:r>
        <w:rPr>
          <w:b/>
          <w:i w:val="0"/>
        </w:rPr>
        <w:t>AG-UI</w:t>
      </w:r>
      <w:r>
        <w:rPr>
          <w:b w:val="0"/>
          <w:i w:val="0"/>
        </w:rPr>
        <w:t xml:space="preserve">  Agent-UI protocol used for streaming AI responses and structured events from the backend to the frontend.</w:t>
      </w:r>
    </w:p>
    <w:p>
      <w:pPr>
        <w:spacing w:before="0" w:after="120"/>
      </w:pPr>
      <w:r>
        <w:rPr>
          <w:b/>
          <w:i w:val="0"/>
        </w:rPr>
        <w:t>CDC</w:t>
      </w:r>
      <w:r>
        <w:rPr>
          <w:b w:val="0"/>
          <w:i w:val="0"/>
        </w:rPr>
        <w:t xml:space="preserve">  Contextual Data Chat — a feature set (F-APP-02) that enables operators to query facility data in natural language.</w:t>
      </w:r>
    </w:p>
    <w:p>
      <w:pPr>
        <w:spacing w:before="0" w:after="120"/>
      </w:pPr>
      <w:r>
        <w:rPr>
          <w:b/>
          <w:i w:val="0"/>
        </w:rPr>
        <w:t>CMMS / EAM</w:t>
      </w:r>
      <w:r>
        <w:rPr>
          <w:b w:val="0"/>
          <w:i w:val="0"/>
        </w:rPr>
        <w:t xml:space="preserve">  Computerized Maintenance Management System / Enterprise Asset Management — the systems operators use to track work orders and asset maintenance history. Kav AI does not write to CMMS / EAM autonomously; all outputs are operator-confirmed recommendations.</w:t>
      </w:r>
    </w:p>
    <w:p>
      <w:pPr>
        <w:spacing w:before="0" w:after="120"/>
      </w:pPr>
      <w:r>
        <w:rPr>
          <w:b/>
          <w:i w:val="0"/>
        </w:rPr>
        <w:t>DEXPI</w:t>
      </w:r>
      <w:r>
        <w:rPr>
          <w:b w:val="0"/>
          <w:i w:val="0"/>
        </w:rPr>
        <w:t xml:space="preserve">  Data Exchange in the Process Industry — an open, vendor-neutral XML schema for exchanging logical P&amp;ID data (equipment, nozzles, piping, and connectivity). Kav AI ingests DEXPI to read P&amp;ID structure without proprietary lock-in.</w:t>
      </w:r>
    </w:p>
    <w:p>
      <w:pPr>
        <w:spacing w:before="0" w:after="120"/>
      </w:pPr>
      <w:r>
        <w:rPr>
          <w:b/>
          <w:i w:val="0"/>
        </w:rPr>
        <w:t>DMR / FMR</w:t>
      </w:r>
      <w:r>
        <w:rPr>
          <w:b w:val="0"/>
          <w:i w:val="0"/>
        </w:rPr>
        <w:t xml:space="preserve">  Damage / Failure Mechanism Review — a structured assessment of the degradation modes that can affect specific equipment based on its service conditions, materials, and operating history. "DMR" is the established term in hydrocarbons; equivalent reviews exist under industry-specific names in other sectors.</w:t>
      </w:r>
    </w:p>
    <w:p>
      <w:pPr>
        <w:spacing w:before="0" w:after="120"/>
      </w:pPr>
      <w:r>
        <w:rPr>
          <w:b/>
          <w:i w:val="0"/>
        </w:rPr>
        <w:t>IDMS</w:t>
      </w:r>
      <w:r>
        <w:rPr>
          <w:b w:val="0"/>
          <w:i w:val="0"/>
        </w:rPr>
        <w:t xml:space="preserve">  Inspection Data Management System — the platform that holds inspection-location history, inspection plans, compliance records, and RBI models. Kav AI integrates bidirectionally with IDMS / EAM platforms (SAP PM, IBM Maximo, GE Vernova APM, Hexagon ALI, and other industry-relevant systems).</w:t>
      </w:r>
    </w:p>
    <w:p>
      <w:pPr>
        <w:spacing w:before="0" w:after="120"/>
      </w:pPr>
      <w:r>
        <w:rPr>
          <w:b/>
          <w:i w:val="0"/>
        </w:rPr>
        <w:t>IEC 62443</w:t>
      </w:r>
      <w:r>
        <w:rPr>
          <w:b w:val="0"/>
          <w:i w:val="0"/>
        </w:rPr>
        <w:t xml:space="preserve">  The international standard series for industrial cybersecurity. Defines security levels and requirements for OT systems including DCS / SCADA and control networks.</w:t>
      </w:r>
    </w:p>
    <w:p>
      <w:pPr>
        <w:spacing w:before="0" w:after="120"/>
      </w:pPr>
      <w:r>
        <w:rPr>
          <w:b/>
          <w:i w:val="0"/>
        </w:rPr>
        <w:t>IFC / IFC4</w:t>
      </w:r>
      <w:r>
        <w:rPr>
          <w:b w:val="0"/>
          <w:i w:val="0"/>
        </w:rPr>
        <w:t xml:space="preserve">  Industry Foundation Classes — the open, vendor-neutral standard for Building Information Modeling (BIM) data exchange. Kav AI uses the IFC4 STEP format to represent physical process equipment (tanks, pumps, heat exchangers, compressors, and other plant equipment) and its geometry, materials, and properties.</w:t>
      </w:r>
    </w:p>
    <w:p>
      <w:pPr>
        <w:spacing w:before="0" w:after="120"/>
      </w:pPr>
      <w:r>
        <w:rPr>
          <w:b/>
          <w:i w:val="0"/>
        </w:rPr>
        <w:t>IOW / OLW</w:t>
      </w:r>
      <w:r>
        <w:rPr>
          <w:b w:val="0"/>
          <w:i w:val="0"/>
        </w:rPr>
        <w:t xml:space="preserve">  Integrity / Operating Limit Window — a set of process parameter limits within which equipment is expected to operate safely. Exceedances trigger the failure-mechanism analytical chain. "IOW" is the established term in hydrocarbons; equivalent operating-limit constructs exist under different names in other industries.</w:t>
      </w:r>
    </w:p>
    <w:p>
      <w:pPr>
        <w:spacing w:before="0" w:after="120"/>
      </w:pPr>
      <w:r>
        <w:rPr>
          <w:b/>
          <w:i w:val="0"/>
        </w:rPr>
        <w:t>KRSI</w:t>
      </w:r>
      <w:r>
        <w:rPr>
          <w:b w:val="0"/>
          <w:i w:val="0"/>
        </w:rPr>
        <w:t xml:space="preserve">  Kav AI Robot Sensor Interface — the robot-ingestion and normalization layer that accepts patrol telemetry and payload data from supported autonomous platforms.</w:t>
      </w:r>
    </w:p>
    <w:p>
      <w:pPr>
        <w:spacing w:before="0" w:after="120"/>
      </w:pPr>
      <w:r>
        <w:rPr>
          <w:b/>
          <w:i w:val="0"/>
        </w:rPr>
        <w:t>MCP</w:t>
      </w:r>
      <w:r>
        <w:rPr>
          <w:b w:val="0"/>
          <w:i w:val="0"/>
        </w:rPr>
        <w:t xml:space="preserve">  Model Context Protocol — the protocol that enables AI agents to call object detection models and other tools as structured, callable interfaces.</w:t>
      </w:r>
    </w:p>
    <w:p>
      <w:pPr>
        <w:spacing w:before="0" w:after="120"/>
      </w:pPr>
      <w:r>
        <w:rPr>
          <w:b/>
          <w:i w:val="0"/>
        </w:rPr>
        <w:t>OGI</w:t>
      </w:r>
      <w:r>
        <w:rPr>
          <w:b w:val="0"/>
          <w:i w:val="0"/>
        </w:rPr>
        <w:t xml:space="preserve">  Optical Gas Imaging — a camera technology that visualizes gas emissions invisible to standard cameras.</w:t>
      </w:r>
    </w:p>
    <w:p>
      <w:pPr>
        <w:spacing w:before="0" w:after="120"/>
      </w:pPr>
      <w:r>
        <w:rPr>
          <w:b/>
          <w:i w:val="0"/>
        </w:rPr>
        <w:t>OOD</w:t>
      </w:r>
      <w:r>
        <w:rPr>
          <w:b w:val="0"/>
          <w:i w:val="0"/>
        </w:rPr>
        <w:t xml:space="preserve">  Out-of-Distribution — inputs that differ materially from the training distribution. Kav AI's OOD detector flags these and routes them to a Review queue rather than surfacing them as production alerts.</w:t>
      </w:r>
    </w:p>
    <w:p>
      <w:pPr>
        <w:spacing w:before="0" w:after="120"/>
      </w:pPr>
      <w:r>
        <w:rPr>
          <w:b/>
          <w:i w:val="0"/>
        </w:rPr>
        <w:t>OPC UA</w:t>
      </w:r>
      <w:r>
        <w:rPr>
          <w:b w:val="0"/>
          <w:i w:val="0"/>
        </w:rPr>
        <w:t xml:space="preserve">  OPC Unified Architecture (IEC 62541) — the universal industrial middleware standard providing secure, platform-independent read access to DCS / SCADA systems, historians, and PLCs. Kav AI's Q4 control-system integration uses OPC UA.</w:t>
      </w:r>
    </w:p>
    <w:p>
      <w:pPr>
        <w:spacing w:before="0" w:after="120"/>
      </w:pPr>
      <w:r>
        <w:rPr>
          <w:b/>
          <w:i w:val="0"/>
        </w:rPr>
        <w:t>P&amp;ID</w:t>
      </w:r>
      <w:r>
        <w:rPr>
          <w:b w:val="0"/>
          <w:i w:val="0"/>
        </w:rPr>
        <w:t xml:space="preserve">  Piping and Instrumentation Diagram — the engineering drawing that documents process equipment, piping, and instrumentation.</w:t>
      </w:r>
    </w:p>
    <w:p>
      <w:pPr>
        <w:spacing w:before="0" w:after="120"/>
      </w:pPr>
      <w:r>
        <w:rPr>
          <w:b/>
          <w:i w:val="0"/>
        </w:rPr>
        <w:t>Purdue Model</w:t>
      </w:r>
      <w:r>
        <w:rPr>
          <w:b w:val="0"/>
          <w:i w:val="0"/>
        </w:rPr>
        <w:t xml:space="preserve">  A hierarchical reference model for industrial control system network architecture, defining five levels from field devices to enterprise systems. Kav AI operates at Level 3.5 (IT/OT DMZ) and above.</w:t>
      </w:r>
    </w:p>
    <w:p>
      <w:pPr>
        <w:spacing w:before="0" w:after="120"/>
      </w:pPr>
      <w:r>
        <w:rPr>
          <w:b/>
          <w:i w:val="0"/>
        </w:rPr>
        <w:t>RBI</w:t>
      </w:r>
      <w:r>
        <w:rPr>
          <w:b w:val="0"/>
          <w:i w:val="0"/>
        </w:rPr>
        <w:t xml:space="preserve">  Risk-Based Inspection — the methodology for prioritizing inspection effort based on the probability and consequence of equipment failure. Standards include API 580/581 in hydrocarbons and ISO 31000-aligned methodologies (and sector-specific equivalents) in other industries. Kav AI's operating-limit / failure-mechanism chain produces RBI-aligned risk scores and inspection plans against the operator's chosen methodology.</w:t>
      </w:r>
    </w:p>
    <w:p>
      <w:pPr>
        <w:spacing w:before="0" w:after="120"/>
      </w:pPr>
      <w:r>
        <w:rPr>
          <w:b/>
          <w:i w:val="0"/>
        </w:rPr>
        <w:t>RLS</w:t>
      </w:r>
      <w:r>
        <w:rPr>
          <w:b w:val="0"/>
          <w:i w:val="0"/>
        </w:rPr>
        <w:t xml:space="preserve">  Row-Level Security — database access control ensuring each operator can only access their organization's data.</w:t>
      </w:r>
    </w:p>
    <w:p>
      <w:pPr>
        <w:spacing w:before="0" w:after="120"/>
      </w:pPr>
      <w:r>
        <w:rPr>
          <w:b/>
          <w:i w:val="0"/>
        </w:rPr>
        <w:t>SCADA / DCS</w:t>
      </w:r>
      <w:r>
        <w:rPr>
          <w:b w:val="0"/>
          <w:i w:val="0"/>
        </w:rPr>
        <w:t xml:space="preserve">  Supervisory Control and Data Acquisition / Distributed Control System — the operational backbone of industrial facilities, collecting real-time sensor data from field devices. Kav AI reads from these systems via OPC UA; it never writes to or replaces them.</w:t>
      </w:r>
    </w:p>
    <w:p>
      <w:pPr>
        <w:spacing w:before="0" w:after="120"/>
      </w:pPr>
      <w:r>
        <w:rPr>
          <w:b/>
          <w:i w:val="0"/>
        </w:rPr>
        <w:t>Solomon Associates</w:t>
      </w:r>
      <w:r>
        <w:rPr>
          <w:b w:val="0"/>
          <w:i w:val="0"/>
        </w:rPr>
        <w:t xml:space="preserve">  An industry benchmarking organization maintaining comparative databases of refinery and petrochemical plant performance. Kav AI uses such benchmarks as one example of an industry RAM benchmarking framework. Equivalent benchmarking organizations exist for power, metals, pulp &amp; paper, chemicals, and other sectors; the appropriate benchmark is selected per customer industry.</w:t>
      </w:r>
    </w:p>
    <w:p>
      <w:pPr>
        <w:spacing w:before="0" w:after="120"/>
      </w:pPr>
      <w:r>
        <w:rPr>
          <w:b/>
          <w:i w:val="0"/>
        </w:rPr>
        <w:t>SOC 2</w:t>
      </w:r>
      <w:r>
        <w:rPr>
          <w:b w:val="0"/>
          <w:i w:val="0"/>
        </w:rPr>
        <w:t xml:space="preserve">  Service Organization Control 2 — a security certification audit framework widely required by enterprise customers.</w:t>
      </w:r>
    </w:p>
    <w:p>
      <w:pPr>
        <w:pStyle w:val="Heading1"/>
      </w:pPr>
      <w:r>
        <w:rPr>
          <w:b w:val="0"/>
          <w:i w:val="0"/>
        </w:rPr>
        <w:t>Appendix F. Technical Integration Specification</w:t>
      </w:r>
    </w:p>
    <w:p>
      <w:pPr>
        <w:spacing w:before="0" w:after="120"/>
      </w:pPr>
      <w:r>
        <w:rPr>
          <w:b w:val="0"/>
          <w:i w:val="0"/>
        </w:rPr>
        <w:t>This appendix defines the technical requirements and validated configurations for integrating Kav AI with an operator's existing OT and IT infrastructure. It is intended for the operator's OT engineering team and IT security department during procurement technical review.</w:t>
      </w:r>
    </w:p>
    <w:p>
      <w:pPr>
        <w:pStyle w:val="Heading2"/>
      </w:pPr>
      <w:r>
        <w:rPr>
          <w:b w:val="0"/>
          <w:i w:val="0"/>
        </w:rPr>
        <w:t>F.1  OPC UA connector — target configurations (roadmap)</w:t>
      </w:r>
    </w:p>
    <w:p>
      <w:pPr>
        <w:spacing w:before="0" w:after="120"/>
      </w:pPr>
      <w:r>
        <w:rPr>
          <w:b w:val="0"/>
          <w:i w:val="0"/>
        </w:rPr>
        <w:t>Kav AI's planned control-system integration will use OPC UA (IEC 62541) in read-only subscription mode. The connector is on the Q4 2026 roadmap; no live integration exists today. The following OPC UA server implementations are the target qualification scope: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OPC UA server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Vendor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 version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Kepware KEPServerEX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PTC / Rockwell</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6.14+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Matrikon OPC Server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Honeywell / Matrikon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Ignition OPC UA module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Inductive Automation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8.1+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Prosys OPC UA Simulation Server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Prosys OMS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5.x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Emerson DeltaV OPC UA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Emerson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14.x+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OSIsoft PI OPC UA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AVEVA / OSIsoft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 Server 2018+</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Siemens S7 OPC UA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Siemens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TIA Portal V16+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bl>
    <w:p>
      <w:pPr>
        <w:spacing w:before="40" w:after="120"/>
      </w:pPr>
    </w:p>
    <w:p>
      <w:pPr>
        <w:pStyle w:val="Heading2"/>
      </w:pPr>
      <w:r>
        <w:rPr>
          <w:b w:val="0"/>
          <w:i w:val="0"/>
        </w:rPr>
        <w:t>F.2  Data ingestion parameters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Parameter</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Specification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Connection mode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subscription (preferred) or polling. Subscription mode reduces network load and delivers change-of-value events in near real-time.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Polling frequency (polling mode)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Configurable: 1 second minimum, 60 seconds default. Sub-second polling is not supported in v1 of the connector.</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Subscription update rate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100ms minimum update rate supported by the OPC UA standard; Kav AI default is 1 second. Configurable per tag group.</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Authentication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Username/password or X.509 certificate authentication. Anonymous connections not permitted in production deployments.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Encryption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Security Mode: SignAndEncrypt required. Minimum policy: Basic256Sha256.</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Network requirement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connector operates from IT side of OT/IT boundary. Operator must provision a read-only OPC UA endpoint accessible from the IT DMZ. Kav AI never initiates connections from OT side.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Tag capacity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10,000 monitored tags per facility in initial release. Higher capacity available on request.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Historian backfill</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 initial connection, Kav AI requests up to 90 days of historical data where the historian supports OPC UA Historical Data Access (HDA). Configurable.</w:t>
            </w:r>
          </w:p>
        </w:tc>
      </w:tr>
    </w:tbl>
    <w:p>
      <w:pPr>
        <w:spacing w:before="40" w:after="120"/>
      </w:pPr>
    </w:p>
    <w:p>
      <w:pPr>
        <w:pStyle w:val="Heading2"/>
      </w:pPr>
      <w:r>
        <w:rPr>
          <w:b w:val="0"/>
          <w:i w:val="0"/>
        </w:rPr>
        <w:t>F.3  Historian compatibility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Historian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Interface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Notes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OSIsoft PI / AVEVA PI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HDA or PI Web API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 Web API preferred for richer metadata. OPC UA HDA supported for air-gapped deployments where PI Web API is not exposed.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InfluxDB</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InfluxDB HTTP API v2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connector. No OPC UA required. Supports time-range queries and continuous subscriptions.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Honeywell Uniformance PHD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HDA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in qualification. PHD OPC UA server configuration required.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Wonderware / AVEVA Historian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HDA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qualification. AVEVA Historian 2020+ required.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TimescaleDB</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PostgreSQL wire protocol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connector. Suitable for operators using TimescaleDB as a modern historian.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Generic SQL historian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JDBC / ODBC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for historians with SQL read access. Schema mapping required during onboarding.</w:t>
            </w:r>
          </w:p>
        </w:tc>
      </w:tr>
    </w:tbl>
    <w:p>
      <w:pPr>
        <w:spacing w:before="40" w:after="120"/>
      </w:pPr>
    </w:p>
    <w:p>
      <w:pPr>
        <w:pStyle w:val="Heading2"/>
      </w:pPr>
      <w:r>
        <w:rPr>
          <w:b w:val="0"/>
          <w:i w:val="0"/>
        </w:rPr>
        <w:t>F.4  Visual sensor compatibility</w:t>
      </w:r>
    </w:p>
    <w:p>
      <w:pPr>
        <w:spacing w:before="0" w:after="120"/>
      </w:pPr>
      <w:r>
        <w:rPr>
          <w:b w:val="0"/>
          <w:i w:val="0"/>
        </w:rPr>
        <w:t>Kav AI is hardware-agnostic. The platform ingests data from any visual sensor source that produces output in supported formats.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Sensor type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Supported formats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Notes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RGB drone imagery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JPEG, PNG, RAW, MP4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Compatible with DJI, Skydio, Parrot, Flyability, and any drone producing standard image formats.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Thermal (infrared)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RJPEG, TIFF, radiometric JPEG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Radiometric data required for calibrated temperature mapping. Compatible with FLIR, Teledyne, DJI Zenmuse XT2/H20T.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Optical Gas Imaging (OGI) — where applicable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MP4, AVI, MPEG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For industries that use OGI (e.g., hydrocarbons fugitive-emissions monitoring). Compatible with FLIR GF-series and Rebellion Photonics cameras. OGI video processed frame-by-frame.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Specialty industrial imagery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TBD per modality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Sector-specific imagery (e.g., refractory-thermography pyrometry images for steel furnaces, eddy-current arrays for tube-wall inspection) ingested via the same pipeline using a per-modality adapter.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LiDAR point cloud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LAS, LAZ, E57, PLY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Used for spatial reference and CAD overlay alignment. Not required for core platform operation.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Still photography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JPEG, PNG, HEIC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Compatible with any digital camera. Used for confined-space inspection and close-up defect documentation.</w:t>
            </w:r>
          </w:p>
        </w:tc>
      </w:tr>
    </w:tbl>
    <w:p>
      <w:pPr>
        <w:spacing w:before="40" w:after="120"/>
      </w:pPr>
    </w:p>
    <w:p>
      <w:pPr>
        <w:pStyle w:val="Heading2"/>
      </w:pPr>
      <w:r>
        <w:rPr>
          <w:b w:val="0"/>
          <w:i w:val="0"/>
        </w:rPr>
        <w:t>F.5  Network and firewall requirements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Connection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Protocol</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Port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Direction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OPC UA server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(TCP)</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4840 (default)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IT DMZ → OT DMZ. Operator provisions firewall rule.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PI Web API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IT → IT/OT DMZ. Read-only.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browser → Kav AI platform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 / WSS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Internet → Kav AI (cloud SaaS) or internal (on-prem).</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LLM API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 SaaS only. Absent in on-premise deployment.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Kav AI update service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Cloud/customer-cloud only. Not required air-gapped.</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Air-gapped deployment note</w:t>
            </w:r>
          </w:p>
          <w:p>
            <w:pPr>
              <w:spacing w:before="0" w:after="0"/>
            </w:pPr>
            <w:r>
              <w:rPr>
                <w:rFonts w:ascii="Arial" w:hAnsi="Arial"/>
                <w:b w:val="0"/>
                <w:i w:val="0"/>
                <w:color w:val="222222"/>
                <w:sz w:val="20"/>
              </w:rPr>
              <w:t>In on-premise / air-gapped deployments, the connection to the LLM API is eliminated. Kav AI runs a self-hosted language model within the operator's environment. The Kav AI update service connection is replaced by a manual container image delivery process. All other connections remain identical.</w:t>
            </w:r>
          </w:p>
        </w:tc>
      </w:tr>
    </w:tbl>
    <w:p>
      <w:pPr>
        <w:spacing w:before="40" w:after="120"/>
      </w:pPr>
    </w:p>
    <w:p>
      <w:pPr>
        <w:pStyle w:val="Heading2"/>
      </w:pPr>
      <w:r>
        <w:rPr>
          <w:b w:val="0"/>
          <w:i w:val="0"/>
        </w:rPr>
        <w:t>F.6  Infrastructure requirements by deployment tier</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Component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Cloud SaaS</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Customer cloud tenant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On-premise / air-gapped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Compute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Azure/AWS VM (min 8 vCPU, 32 GB RAM)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server (min 8 core, 32 GB RAM, GPU optional)</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Storage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Operator-managed blob storage (Azure Blob / S3)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NAS or SAN (min 2 TB per facility)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Database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 Supabase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Operator-managed PostgreSQL or Azure Database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Operator-managed PostgreSQL (on-site)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LLM inference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cloud API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Operator-provisioned API endpoint or Azure OpenAI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Self-hosted model (hardware spec TBD by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Container runtime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Docker / Kubernetes (AKS or EKS)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Docker or Kubernetes on-prem</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Backup &amp; DR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SLA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responsibility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responsibility</w:t>
            </w:r>
          </w:p>
        </w:tc>
      </w:tr>
    </w:tbl>
    <w:p>
      <w:pPr>
        <w:spacing w:before="40" w:after="120"/>
      </w:pPr>
    </w:p>
    <w:p>
      <w:pPr>
        <w:pStyle w:val="Heading1"/>
      </w:pPr>
      <w:r>
        <w:rPr>
          <w:b w:val="0"/>
          <w:i w:val="0"/>
        </w:rPr>
        <w:t>Appendix G.  Pilot Framework</w:t>
      </w:r>
    </w:p>
    <w:p>
      <w:pPr>
        <w:spacing w:before="0" w:after="120"/>
      </w:pPr>
      <w:r>
        <w:rPr>
          <w:b w:val="0"/>
          <w:i w:val="0"/>
        </w:rPr>
        <w:t>This appendix defines the standard 90-day proof-of-concept framework Kav AI uses for new enterprise customers. The pilot is designed to deliver a defensible, data-backed success evaluation before any long-term contract commitment is required.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Pilot philosophy</w:t>
            </w:r>
          </w:p>
          <w:p>
            <w:pPr>
              <w:spacing w:before="0" w:after="0"/>
            </w:pPr>
            <w:r>
              <w:rPr>
                <w:rFonts w:ascii="Arial" w:hAnsi="Arial"/>
                <w:b w:val="0"/>
                <w:i w:val="0"/>
                <w:color w:val="222222"/>
                <w:sz w:val="20"/>
              </w:rPr>
              <w:t>The pilot is not a demo. It runs against the operator's real inspection data, their real facility, and their real operational questions. Success or failure is measured against criteria agreed in writing before the pilot begins — not assessed retrospectively by Kav AI.</w:t>
            </w:r>
          </w:p>
        </w:tc>
      </w:tr>
    </w:tbl>
    <w:p>
      <w:pPr>
        <w:spacing w:before="40" w:after="120"/>
      </w:pPr>
    </w:p>
    <w:p>
      <w:pPr>
        <w:pStyle w:val="Heading2"/>
      </w:pPr>
      <w:r>
        <w:rPr>
          <w:b w:val="0"/>
          <w:i w:val="0"/>
        </w:rPr>
        <w:t>G.1  Standard pilot scope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Parameter</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Standard definition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 class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One asset class per pilot, selected from the operator's highest-impact equipment (e.g., heat exchangers, pressure vessels, refractory-lined furnaces / kilns, large outdoor structures, conveyor systems, storage tanks). Scope expansion available in Phase 2. </w:t>
            </w:r>
            <w:r>
              <w:rPr>
                <w:rFonts w:ascii="Arial" w:hAnsi="Arial"/>
                <w:b/>
                <w:i w:val="0"/>
                <w:color w:val="111111"/>
                <w:sz w:val="20"/>
              </w:rPr>
              <w:t>Equipment class boundary of automation (see Integrity Analytical Chain section) must be communicated to the operator before pilot onboarding.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Facility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One facility or one defined area of a larger facility (e.g. a process unit, a mill bay, a furnace area, a tank farm, a kiln line, or a compressor / pump house).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sources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Visual inspection imagery (RGB, thermal, or specialty modalities applicable to the industry) from at least one completed inspection campaign. Control-system / historian data is optional in pilot phase; included if operator elects to connect.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Duration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90 days from data ingestion to success evaluation meeting.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Operator commitment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Named pilot lead (integrity / reliability / inspection engineer or operations / maintenance manager). Access to historical inspection reports for cross-validation. Availability for three structured review sessions.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 commitment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Dedicated customer success engineer for the pilot duration. Weekly progress updates. Full data deletion on pilot conclusion if operator does not proceed.</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New facility onboarding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The first campaign at a new facility is treated as baseline data collection. OOD flags are expected in Weeks 1–4 and are used to calibrate the detector, not to surface UNCERTAIN alerts. Detection performance in Weeks 5–12 represents steady-state.</w:t>
            </w:r>
          </w:p>
        </w:tc>
      </w:tr>
    </w:tbl>
    <w:p>
      <w:pPr>
        <w:spacing w:before="40" w:after="120"/>
      </w:pPr>
    </w:p>
    <w:p>
      <w:pPr>
        <w:pStyle w:val="Heading2"/>
      </w:pPr>
      <w:r>
        <w:rPr>
          <w:b w:val="0"/>
          <w:i w:val="0"/>
        </w:rPr>
        <w:t>G.2  Pilot timeline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Week</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Phase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Activities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Onboarding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Data transfer and ingestion. OPC UA connector configuration (if control-system / historian access elected). 3D facility model generation from inspection imagery. Operator orientation session. </w:t>
            </w:r>
            <w:r>
              <w:rPr>
                <w:rFonts w:ascii="Arial" w:hAnsi="Arial"/>
                <w:b/>
                <w:i w:val="0"/>
                <w:color w:val="111111"/>
                <w:sz w:val="20"/>
              </w:rPr>
              <w:t>OOD baseline calibration begins.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Baseline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generates initial anomaly detection results. Operator pilot lead reviews findings against known historical defects. Baseline accuracy established.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5–8</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Active use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uses Kav AI natural language interface for real integrity / reliability queries. AI response quality reviewed. Operating-limit / failure-mechanism chain activated if control-system / historian connected. Mid-pilot review session at Week 6.</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9–10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Kav AI findings cross-validated against operator's existing inspection reports and CMMS records. False positive and false negative rate measured against agreed threshold. </w:t>
            </w:r>
            <w:r>
              <w:rPr>
                <w:rFonts w:ascii="Arial" w:hAnsi="Arial"/>
                <w:b/>
                <w:i w:val="0"/>
                <w:color w:val="111111"/>
                <w:sz w:val="20"/>
              </w:rPr>
              <w:t>Confidence calibration curve generated and reviewed.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11–12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Evaluation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Success evaluation meeting. Structured debrief against all success criteria. </w:t>
            </w:r>
            <w:r>
              <w:rPr>
                <w:rFonts w:ascii="Arial" w:hAnsi="Arial"/>
                <w:b/>
                <w:i w:val="0"/>
                <w:color w:val="111111"/>
                <w:sz w:val="20"/>
              </w:rPr>
              <w:t>Calibration curve included as deliverable.</w:t>
            </w:r>
            <w:r>
              <w:rPr>
                <w:rFonts w:ascii="Arial" w:hAnsi="Arial"/>
                <w:b w:val="0"/>
                <w:i w:val="0"/>
                <w:color w:val="111111"/>
                <w:sz w:val="20"/>
              </w:rPr>
              <w:t xml:space="preserve"> Operator decision: proceed, extend, or conclude. Data deletion executed if not proceeding.</w:t>
            </w:r>
          </w:p>
        </w:tc>
      </w:tr>
    </w:tbl>
    <w:p>
      <w:pPr>
        <w:spacing w:before="40" w:after="120"/>
      </w:pPr>
    </w:p>
    <w:p>
      <w:pPr>
        <w:pStyle w:val="Heading2"/>
      </w:pPr>
      <w:r>
        <w:rPr>
          <w:b w:val="0"/>
          <w:i w:val="0"/>
        </w:rPr>
        <w:t>G.3  Success criteria</w:t>
      </w:r>
    </w:p>
    <w:p>
      <w:pPr>
        <w:spacing w:before="0" w:after="120"/>
      </w:pPr>
      <w:r>
        <w:rPr>
          <w:b w:val="0"/>
          <w:i w:val="0"/>
        </w:rPr>
        <w:t>Success criteria are agreed in writing between Kav AI and the operator before data ingestion begins. The standard criteria set is defined below. Operators may substitute or add criteria by agreement.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Criterion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Standard threshold</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Measurement method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Anomaly detection recall</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≥80% of known defects from historical inspection reports identified by Kav AI without operator prompt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Cross-validation against operator's existing inspection records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False positive rate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≤20% of Kav AI-flagged anomalies assessed as false positives by the operator pilot lead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Pilot lead review of all flagged items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Query response quality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≥70% of natural language queries rated 'useful' or better by pilot lead on a 5-point scale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Structured query log reviewed at Week 6 and Week 12</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Time to first finding</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surfaces first anomaly finding within 48 hours of completed data ingestion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Timestamp of first flagged anomaly vs. ingestion completion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AI response latency (P95)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≤5 seconds for natural language query response (P95)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Automated latency logging during pilot period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Control-system correlation (if connected)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 confirmed correlation between an operating-limit exceedance from the control system / historian and a visual inspection anomaly at the same asset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pilot lead validation of correlated finding</w:t>
            </w:r>
          </w:p>
        </w:tc>
      </w:tr>
    </w:tbl>
    <w:p>
      <w:pPr>
        <w:spacing w:before="40" w:after="120"/>
      </w:pPr>
    </w:p>
    <w:p>
      <w:pPr>
        <w:pStyle w:val="Heading2"/>
      </w:pPr>
      <w:r>
        <w:rPr>
          <w:b w:val="0"/>
          <w:i w:val="0"/>
        </w:rPr>
        <w:t>G.4  Responsibilities matrix</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Activity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Operator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transfer and ingestion setup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ingestion pipeline and documentation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inspection data in supported format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OPC UA connector configuration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connector software and configuration guide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Provisions read-only OPC UA endpoint on the operator's control-system / historian DMZ; configures firewall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3D facility model generation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Processes imagery and generates 3D model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imagery from completed inspection campaign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Historical defect cross-validation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tooling for structured comparison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historical inspection reports and CMMS records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Success criteria agreement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Proposes standard criteria set; negotiates amendments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Reviews and approves criteria in writing before ingestion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Weekly progress updates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Delivers written update every Friday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Reviews and responds within 2 business days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security during pilot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Encrypts data in transit and at rest; access logging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Responsible for data transfer security on operator side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deletion on pilot conclusion (no-proceed)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Executes deletion within 5 business days; provides certificate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Confirms deletion certificate received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Commercial decision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Named decision-maker attends evaluation meeting</w:t>
            </w:r>
          </w:p>
        </w:tc>
      </w:tr>
    </w:tbl>
    <w:p>
      <w:pPr>
        <w:spacing w:before="40" w:after="120"/>
      </w:pPr>
    </w:p>
    <w:p>
      <w:pPr>
        <w:pStyle w:val="Heading2"/>
      </w:pPr>
      <w:r>
        <w:rPr>
          <w:b w:val="0"/>
          <w:i w:val="0"/>
        </w:rPr>
        <w:t>G.5  Pilot commercial terms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Term</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Standard position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Pilot fee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 fee agreed prior to commencement. Applied as credit against Year 1 subscription if operator proceeds.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ownership</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inspection data remains the property of the operator throughout the pilot and after its conclusion.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Intellectual property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retains all rights to platform software. Operator retains all rights to their facility data and inspection imagery.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Confidentiality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Mutual NDA in place prior to data transfer. Kav AI does not use pilot data for model training without explicit written consent.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Exit rights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may terminate pilot at any time with 5 business days' notice. Kav AI executes data deletion and issues deletion certificate.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Liability cap during pilot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liability capped at pilot fee paid. Kav AI outputs are recommendations only; operator retains all responsibility for operational decisions.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Path to production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If success criteria are met, operator receives a production contract proposal within 10 business days of evaluation meeting.</w:t>
            </w:r>
          </w:p>
        </w:tc>
      </w:tr>
    </w:tbl>
    <w:p>
      <w:pPr>
        <w:spacing w:before="40" w:after="120"/>
      </w:pPr>
    </w:p>
    <w:p>
      <w:pPr>
        <w:pStyle w:val="Heading1"/>
      </w:pPr>
      <w:r>
        <w:rPr>
          <w:b w:val="0"/>
          <w:i w:val="0"/>
        </w:rPr>
        <w:t>Appendix H.  Master Services Agreement Framework</w:t>
      </w:r>
    </w:p>
    <w:p>
      <w:pPr>
        <w:spacing w:before="0" w:after="120"/>
      </w:pPr>
      <w:r>
        <w:rPr>
          <w:b w:val="0"/>
          <w:i w:val="0"/>
        </w:rPr>
        <w:t>This appendix describes the key commercial and legal positions Kav AI takes in its Master Services Agreement (MSA). It is intended to accelerate legal review by identifying Kav AI's standard positions and areas where negotiation is anticipated. The full MSA template is provided separately by Kav AI's legal counsel upon request.</w:t>
      </w:r>
    </w:p>
    <w:p>
      <w:pPr>
        <w:spacing w:before="40" w:after="160"/>
        <w:jc w:val="left"/>
      </w:pPr>
      <w:r>
        <w:rPr>
          <w:i/>
          <w:color w:val="666666"/>
          <w:sz w:val="19"/>
        </w:rPr>
        <w:t>This appendix is a summary of Kav AI's standard MSA positions for discussion purposes. It does not constitute legal advice and does not supersede the executed MSA. Operators should engage their own legal counsel to review the full agreement.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Core legal position</w:t>
            </w:r>
          </w:p>
          <w:p>
            <w:pPr>
              <w:spacing w:before="0" w:after="0"/>
            </w:pPr>
            <w:r>
              <w:rPr>
                <w:rFonts w:ascii="Arial" w:hAnsi="Arial"/>
                <w:b w:val="0"/>
                <w:i w:val="0"/>
                <w:color w:val="222222"/>
                <w:sz w:val="20"/>
              </w:rPr>
              <w:t>Kav AI is a decision support platform, not a control system. All outputs — anomaly findings, risk scores, remaining life estimates, and corrective action recommendations — are provided to a qualified human operator for their review and judgment. The operator retains full responsibility for all operational decisions. This position is reflected throughout the MSA and is not negotiable.</w:t>
            </w:r>
          </w:p>
        </w:tc>
      </w:tr>
    </w:tbl>
    <w:p>
      <w:pPr>
        <w:spacing w:before="40" w:after="120"/>
      </w:pPr>
    </w:p>
    <w:p>
      <w:pPr>
        <w:pStyle w:val="Heading2"/>
      </w:pPr>
      <w:r>
        <w:rPr>
          <w:b w:val="0"/>
          <w:i w:val="0"/>
        </w:rPr>
        <w:t>H.1  Key MSA provisions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Provision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standard position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Negotiation status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Liability cap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AI's total aggregate liability is capped at fees paid in the 12 months preceding the claim. Excludes gross negligence and wilful misconduct.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Not negotiable below 12-month fee cap.</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Consequential damages exclusion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excludes liability for indirect, consequential, and incidental damages including lost production, business interruption, and third-party claims.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Mutual exclusion 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Decision support disclaimer</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outputs are recommendations to qualified operators. Operator retains full responsibility for all operational decisions made in reliance on Kav AI outputs.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Non-negotiable. Core to product liability position.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ownership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facility data and inspection imagery remains the property of the operator. Kav AI holds a limited license to process the data for the purpose of providing the service.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Operator IP protections 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Model training consent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does not use operator data for model training without explicit written consent. Anonymized, aggregated performance metrics excluded.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Explicit opt-in required for training use.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security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complies with SOC 2 Type II (target Q4 2026). Encryption at rest and in transit. Breach notification within 72 hours.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Additional security schedules 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deletion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 contract termination, Kav AI deletes all operator data within 30 days and provides a deletion certificate. Backups purged within 90 days.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Uptime SLA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99.5% monthly uptime for cloud SaaS tier. Excludes planned maintenance windows (notified 48 hours in advance) and force majeure.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SLA credits negotiable. Cap at one month's fees.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Audit rights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may audit Kav AI's data handling practices annually with 30 days' notice, or following a security incident.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Governing law</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Ontario, Canada (Kav AI standard). Negotiable to operator's jurisdiction for enterprise contracts.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Dispute resolution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Good-faith negotiation (30 days), then binding arbitration under ICC Rules. Litigation waived by both parties.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Negotiable to operator preference.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Term and renewal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Initial term 12 months. Auto-renews for 12-month terms unless either party gives 60 days' notice.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Multi-year terms available at discount.</w:t>
            </w:r>
          </w:p>
        </w:tc>
      </w:tr>
    </w:tbl>
    <w:p>
      <w:pPr>
        <w:spacing w:before="40" w:after="120"/>
      </w:pPr>
    </w:p>
    <w:p>
      <w:pPr>
        <w:pStyle w:val="Heading2"/>
      </w:pPr>
      <w:r>
        <w:rPr>
          <w:b w:val="0"/>
          <w:i w:val="0"/>
        </w:rPr>
        <w:t>H.2  Subscription tiers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Feature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Starter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Professional</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Enterprise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Deployment tier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 SaaS only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 SaaS or customer cloud tenant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tiers including on-premise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Facilities covered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 facility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5 facilities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Unlimited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Concurrent operators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10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50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Unlimited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Inspection campaigns / year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12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Unlimited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Control-system / OPC UA connector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Operating-limit / failure-mechanism analytical chain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(Q3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(Q3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correlation engine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Autonomous robot patrol ingestion (KRSI)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Partner-integrated delivery (industry-appropriate engineering partner)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available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on request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on request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Industry RAM benchmarking integration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SSO / SAML integration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Dedicated CSM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SLA uptime guarantee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99.9%</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Security review / pen test support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Annual report shared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Dedicated engagement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On-premise / air-gapped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available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available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(H1 2027)</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Pricing basis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 facility / per year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 facility bundle / per year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Enterprise license / custom</w:t>
            </w:r>
          </w:p>
        </w:tc>
      </w:tr>
    </w:tbl>
    <w:p>
      <w:pPr>
        <w:spacing w:before="40" w:after="120"/>
      </w:pPr>
    </w:p>
    <w:p>
      <w:pPr>
        <w:spacing w:before="40" w:after="160"/>
        <w:jc w:val="left"/>
      </w:pPr>
      <w:r>
        <w:rPr>
          <w:i/>
          <w:color w:val="666666"/>
          <w:sz w:val="19"/>
        </w:rPr>
        <w:t>Pricing is indicative. Final pricing provided in a separate commercial proposal. Volume discounts available for multi-facility and multi-year commitments.</w:t>
      </w:r>
    </w:p>
    <w:p>
      <w:pPr>
        <w:pStyle w:val="Heading2"/>
      </w:pPr>
      <w:r>
        <w:rPr>
          <w:b w:val="0"/>
          <w:i w:val="0"/>
        </w:rPr>
        <w:t>H.3  Anticipated legal review areas</w:t>
      </w:r>
    </w:p>
    <w:p>
      <w:pPr>
        <w:spacing w:before="0" w:after="120"/>
      </w:pPr>
      <w:r>
        <w:rPr>
          <w:b w:val="0"/>
          <w:i w:val="0"/>
        </w:rPr>
        <w:t>Based on Kav AI's experience with enterprise procurement in heavy industry, the following provisions typically require negotiation or additional schedules during legal review. Kav AI's legal counsel is prepared to engage on all of these.</w:t>
      </w:r>
    </w:p>
    <w:p>
      <w:pPr>
        <w:spacing w:before="0" w:after="60"/>
        <w:ind w:left="504" w:hanging="288"/>
      </w:pPr>
      <w:r>
        <w:rPr>
          <w:b w:val="0"/>
        </w:rPr>
        <w:t xml:space="preserve">•  </w:t>
      </w:r>
      <w:r>
        <w:rPr>
          <w:b w:val="0"/>
          <w:i w:val="0"/>
        </w:rPr>
        <w:t>Data residency schedules for operators subject to specific jurisdictional requirements (e.g. Canadian data sovereignty, EU GDPR, US ITAR)</w:t>
      </w:r>
    </w:p>
    <w:p>
      <w:pPr>
        <w:spacing w:before="0" w:after="60"/>
        <w:ind w:left="504" w:hanging="288"/>
      </w:pPr>
      <w:r>
        <w:rPr>
          <w:b w:val="0"/>
        </w:rPr>
        <w:t xml:space="preserve">•  </w:t>
      </w:r>
      <w:r>
        <w:rPr>
          <w:b w:val="0"/>
          <w:i w:val="0"/>
        </w:rPr>
        <w:t>Security addenda for operators with their own information security standards (e.g. ISO 27001, NIST CSF, or internal OT security frameworks)</w:t>
      </w:r>
    </w:p>
    <w:p>
      <w:pPr>
        <w:spacing w:before="0" w:after="60"/>
        <w:ind w:left="504" w:hanging="288"/>
      </w:pPr>
      <w:r>
        <w:rPr>
          <w:b w:val="0"/>
        </w:rPr>
        <w:t xml:space="preserve">•  </w:t>
      </w:r>
      <w:r>
        <w:rPr>
          <w:b w:val="0"/>
          <w:i w:val="0"/>
        </w:rPr>
        <w:t>Subprocessor lists and approval rights, particularly for cloud infrastructure providers and LLM API vendors</w:t>
      </w:r>
    </w:p>
    <w:p>
      <w:pPr>
        <w:spacing w:before="0" w:after="60"/>
        <w:ind w:left="504" w:hanging="288"/>
      </w:pPr>
      <w:r>
        <w:rPr>
          <w:b w:val="0"/>
        </w:rPr>
        <w:t xml:space="preserve">•  </w:t>
      </w:r>
      <w:r>
        <w:rPr>
          <w:b w:val="0"/>
          <w:i w:val="0"/>
        </w:rPr>
        <w:t>Incident response and notification procedures, including integration with the operator's existing incident response plan</w:t>
      </w:r>
    </w:p>
    <w:p>
      <w:pPr>
        <w:spacing w:before="0" w:after="60"/>
        <w:ind w:left="504" w:hanging="288"/>
      </w:pPr>
      <w:r>
        <w:rPr>
          <w:b w:val="0"/>
        </w:rPr>
        <w:t xml:space="preserve">•  </w:t>
      </w:r>
      <w:r>
        <w:rPr>
          <w:b w:val="0"/>
          <w:i w:val="0"/>
        </w:rPr>
        <w:t>Change control procedures for material platform updates that may affect integrated workflows</w:t>
      </w:r>
    </w:p>
    <w:p>
      <w:pPr>
        <w:spacing w:before="0" w:after="60"/>
        <w:ind w:left="504" w:hanging="288"/>
      </w:pPr>
      <w:r>
        <w:rPr>
          <w:b w:val="0"/>
        </w:rPr>
        <w:t xml:space="preserve">•  </w:t>
      </w:r>
      <w:r>
        <w:rPr>
          <w:b w:val="0"/>
          <w:i w:val="0"/>
        </w:rPr>
        <w:t>Export control compliance for operators subject to US EAR or ITAR restrictions on technology transfer</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Next steps for legal review</w:t>
            </w:r>
          </w:p>
          <w:p>
            <w:pPr>
              <w:spacing w:before="0" w:after="0"/>
            </w:pPr>
            <w:r>
              <w:rPr>
                <w:rFonts w:ascii="Arial" w:hAnsi="Arial"/>
                <w:b w:val="0"/>
                <w:i w:val="0"/>
                <w:color w:val="222222"/>
                <w:sz w:val="20"/>
              </w:rPr>
              <w:t>To initiate legal review, the operator's legal counsel should contact Kav AI to request the full MSA template and any applicable security schedules. Kav AI targets a 10-business-day turnaround on redline responses. For enterprise contracts, Kav AI's legal counsel is available for a direct call to discuss substantive issues before formal redline exchange.</w:t>
            </w:r>
          </w:p>
        </w:tc>
      </w:tr>
    </w:tbl>
    <w:p>
      <w:pPr>
        <w:spacing w:before="40" w:after="120"/>
      </w:pPr>
    </w:p>
    <w:sectPr>
      <w:headerReference r:id="rId9" w:type="default"/>
      <w:footerReference r:id="rId10"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5">
    <w:pPr>
      <w:spacing w:before="0" w:after="0"/>
      <w:tabs>
        <w:tab w:val="right" w:pos="9360" w:leader="none"/>
      </w:tabs>
    </w:pPr>
    <w:r>
      <w:rPr>
        <w:rFonts w:ascii="Arial" w:hAnsi="Arial"/>
        <w:color w:val="999999"/>
        <w:sz w:val="16"/>
      </w:rPr>
      <w:t>©2026 Kav AI Technologies Inc.  |  Confidential</w:t>
    </w:r>
    <w:r>
      <w:rPr>
        <w:sz w:val="16"/>
      </w:rPr>
      <w:tab/>
    </w:r>
    <w:fldSimple w:instr=" PAGE ">
      <w:r>
        <w:rPr>
          <w:rFonts w:ascii="Arial" w:hAnsi="Arial"/>
          <w:sz w:val="16"/>
          <w:color w:val="999999"/>
        </w:rPr>
        <w:t>1</w:t>
      </w:r>
    </w:fldSimple>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4">
    <w:pPr>
      <w:pBdr>
        <w:bottom w:color="0d7680" w:space="1" w:sz="6" w:val="single"/>
      </w:pBdr>
      <w:tabs>
        <w:tab w:val="right" w:leader="none" w:pos="9360"/>
      </w:tabs>
      <w:spacing w:after="0" w:lineRule="auto"/>
      <w:rPr/>
    </w:pPr>
    <w:r w:rsidDel="00000000" w:rsidR="00000000" w:rsidRPr="00000000">
      <w:rPr>
        <w:rFonts w:ascii="Arial" w:cs="Arial" w:eastAsia="Arial" w:hAnsi="Arial"/>
        <w:b w:val="1"/>
        <w:bCs w:val="1"/>
        <w:color w:val="1b3a6b"/>
        <w:sz w:val="18"/>
        <w:szCs w:val="18"/>
        <w:rtl w:val="0"/>
      </w:rPr>
      <w:t>Kav AI Platform  |  Product Requirements Document                      Version 3.7.s  —  June 2026  |  CONFIDENTIAL</w:t>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2">
    <w:lvl w:ilvl="0">
      <w:start w:val="1"/>
      <w:numFmt w:val="bullet"/>
      <w:lvlText w:val="•"/>
      <w:lvlJc w:val="left"/>
      <w:pPr>
        <w:ind w:left="600" w:hanging="30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11111"/>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60" w:line="240" w:lineRule="auto"/>
      <w:ind w:left="0" w:right="0" w:firstLine="0"/>
      <w:jc w:val="left"/>
    </w:pPr>
    <w:rPr>
      <w:rFonts w:ascii="Arial" w:cs="Arial" w:eastAsia="Arial" w:hAnsi="Arial"/>
      <w:b w:val="1"/>
      <w:bCs w:val="1"/>
      <w:i w:val="0"/>
      <w:iCs w:val="0"/>
      <w:smallCaps w:val="0"/>
      <w:strike w:val="0"/>
      <w:color w:val="1b3a6b"/>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pPr>
    <w:rPr>
      <w:rFonts w:ascii="Arial" w:cs="Arial" w:eastAsia="Arial" w:hAnsi="Arial"/>
      <w:b w:val="1"/>
      <w:bCs w:val="1"/>
      <w:i w:val="0"/>
      <w:iCs w:val="0"/>
      <w:smallCaps w:val="0"/>
      <w:strike w:val="0"/>
      <w:color w:val="0d7680"/>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pPr>
    <w:rPr>
      <w:rFonts w:ascii="Arial" w:cs="Arial" w:eastAsia="Arial" w:hAnsi="Arial"/>
      <w:b w:val="1"/>
      <w:bCs w:val="1"/>
      <w:i w:val="0"/>
      <w:iCs w:val="0"/>
      <w:smallCaps w:val="0"/>
      <w:strike w:val="0"/>
      <w:color w:val="1b3a6b"/>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11111"/>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00.0" w:type="dxa"/>
        <w:left w:w="140.0" w:type="dxa"/>
        <w:bottom w:w="100.0" w:type="dxa"/>
        <w:right w:w="140.0" w:type="dxa"/>
      </w:tblCellMar>
    </w:tblPr>
  </w:style>
  <w:style w:type="table" w:styleId="Table22">
    <w:basedOn w:val="TableNormal"/>
    <w:tblPr>
      <w:tblStyleRowBandSize w:val="1"/>
      <w:tblStyleColBandSize w:val="1"/>
      <w:tblCellMar>
        <w:top w:w="100.0" w:type="dxa"/>
        <w:left w:w="140.0" w:type="dxa"/>
        <w:bottom w:w="100.0" w:type="dxa"/>
        <w:right w:w="140.0" w:type="dxa"/>
      </w:tblCellMar>
    </w:tblPr>
  </w:style>
  <w:style w:type="table" w:styleId="Table23">
    <w:basedOn w:val="TableNormal"/>
    <w:tblPr>
      <w:tblStyleRowBandSize w:val="1"/>
      <w:tblStyleColBandSize w:val="1"/>
      <w:tblCellMar>
        <w:top w:w="100.0" w:type="dxa"/>
        <w:left w:w="140.0" w:type="dxa"/>
        <w:bottom w:w="100.0" w:type="dxa"/>
        <w:right w:w="140.0" w:type="dxa"/>
      </w:tblCellMar>
    </w:tblPr>
  </w:style>
  <w:style w:type="table" w:styleId="Table24">
    <w:basedOn w:val="TableNormal"/>
    <w:tblPr>
      <w:tblStyleRowBandSize w:val="1"/>
      <w:tblStyleColBandSize w:val="1"/>
      <w:tblCellMar>
        <w:top w:w="100.0" w:type="dxa"/>
        <w:left w:w="140.0" w:type="dxa"/>
        <w:bottom w:w="100.0" w:type="dxa"/>
        <w:right w:w="140.0" w:type="dxa"/>
      </w:tblCellMar>
    </w:tblPr>
  </w:style>
  <w:style w:type="table" w:styleId="Table25">
    <w:basedOn w:val="TableNormal"/>
    <w:tblPr>
      <w:tblStyleRowBandSize w:val="1"/>
      <w:tblStyleColBandSize w:val="1"/>
      <w:tblCellMar>
        <w:top w:w="100.0" w:type="dxa"/>
        <w:left w:w="140.0" w:type="dxa"/>
        <w:bottom w:w="100.0" w:type="dxa"/>
        <w:right w:w="140.0" w:type="dxa"/>
      </w:tblCellMar>
    </w:tblPr>
  </w:style>
  <w:style w:type="table" w:styleId="Table26">
    <w:basedOn w:val="TableNormal"/>
    <w:tblPr>
      <w:tblStyleRowBandSize w:val="1"/>
      <w:tblStyleColBandSize w:val="1"/>
      <w:tblCellMar>
        <w:top w:w="140.0" w:type="dxa"/>
        <w:left w:w="200.0" w:type="dxa"/>
        <w:bottom w:w="140.0" w:type="dxa"/>
        <w:right w:w="160.0" w:type="dxa"/>
      </w:tblCellMar>
    </w:tblPr>
  </w:style>
  <w:style w:type="table" w:styleId="Table27">
    <w:basedOn w:val="TableNormal"/>
    <w:tblPr>
      <w:tblStyleRowBandSize w:val="1"/>
      <w:tblStyleColBandSize w:val="1"/>
      <w:tblCellMar>
        <w:top w:w="100.0" w:type="dxa"/>
        <w:left w:w="140.0" w:type="dxa"/>
        <w:bottom w:w="100.0" w:type="dxa"/>
        <w:right w:w="140.0" w:type="dxa"/>
      </w:tblCellMar>
    </w:tblPr>
  </w:style>
  <w:style w:type="table" w:styleId="Table28">
    <w:basedOn w:val="TableNormal"/>
    <w:tblPr>
      <w:tblStyleRowBandSize w:val="1"/>
      <w:tblStyleColBandSize w:val="1"/>
      <w:tblCellMar>
        <w:top w:w="140.0" w:type="dxa"/>
        <w:left w:w="200.0" w:type="dxa"/>
        <w:bottom w:w="140.0" w:type="dxa"/>
        <w:right w:w="160.0" w:type="dxa"/>
      </w:tblCellMar>
    </w:tblPr>
  </w:style>
  <w:style w:type="table" w:styleId="Table29">
    <w:basedOn w:val="TableNormal"/>
    <w:tblPr>
      <w:tblStyleRowBandSize w:val="1"/>
      <w:tblStyleColBandSize w:val="1"/>
      <w:tblCellMar>
        <w:top w:w="100.0" w:type="dxa"/>
        <w:left w:w="140.0" w:type="dxa"/>
        <w:bottom w:w="100.0" w:type="dxa"/>
        <w:right w:w="140.0" w:type="dxa"/>
      </w:tblCellMar>
    </w:tblPr>
  </w:style>
  <w:style w:type="table" w:styleId="Table30">
    <w:basedOn w:val="TableNormal"/>
    <w:tblPr>
      <w:tblStyleRowBandSize w:val="1"/>
      <w:tblStyleColBandSize w:val="1"/>
      <w:tblCellMar>
        <w:top w:w="100.0" w:type="dxa"/>
        <w:left w:w="140.0" w:type="dxa"/>
        <w:bottom w:w="100.0" w:type="dxa"/>
        <w:right w:w="140.0" w:type="dxa"/>
      </w:tblCellMar>
    </w:tblPr>
  </w:style>
  <w:style w:type="table" w:styleId="Table31">
    <w:basedOn w:val="TableNormal"/>
    <w:tblPr>
      <w:tblStyleRowBandSize w:val="1"/>
      <w:tblStyleColBandSize w:val="1"/>
      <w:tblCellMar>
        <w:top w:w="100.0" w:type="dxa"/>
        <w:left w:w="140.0" w:type="dxa"/>
        <w:bottom w:w="100.0" w:type="dxa"/>
        <w:right w:w="140.0" w:type="dxa"/>
      </w:tblCellMar>
    </w:tblPr>
  </w:style>
  <w:style w:type="table" w:styleId="Table32">
    <w:basedOn w:val="TableNormal"/>
    <w:tblPr>
      <w:tblStyleRowBandSize w:val="1"/>
      <w:tblStyleColBandSize w:val="1"/>
      <w:tblCellMar>
        <w:top w:w="100.0" w:type="dxa"/>
        <w:left w:w="140.0" w:type="dxa"/>
        <w:bottom w:w="100.0" w:type="dxa"/>
        <w:right w:w="140.0" w:type="dxa"/>
      </w:tblCellMar>
    </w:tblPr>
  </w:style>
  <w:style w:type="table" w:styleId="Table33">
    <w:basedOn w:val="TableNormal"/>
    <w:tblPr>
      <w:tblStyleRowBandSize w:val="1"/>
      <w:tblStyleColBandSize w:val="1"/>
      <w:tblCellMar>
        <w:top w:w="100.0" w:type="dxa"/>
        <w:left w:w="140.0" w:type="dxa"/>
        <w:bottom w:w="100.0" w:type="dxa"/>
        <w:right w:w="140.0" w:type="dxa"/>
      </w:tblCellMar>
    </w:tblPr>
  </w:style>
  <w:style w:type="table" w:styleId="Table34">
    <w:basedOn w:val="TableNormal"/>
    <w:tblPr>
      <w:tblStyleRowBandSize w:val="1"/>
      <w:tblStyleColBandSize w:val="1"/>
      <w:tblCellMar>
        <w:top w:w="140.0" w:type="dxa"/>
        <w:left w:w="200.0" w:type="dxa"/>
        <w:bottom w:w="140.0" w:type="dxa"/>
        <w:right w:w="160.0" w:type="dxa"/>
      </w:tblCellMar>
    </w:tblPr>
  </w:style>
  <w:style w:type="table" w:styleId="Table35">
    <w:basedOn w:val="TableNormal"/>
    <w:tblPr>
      <w:tblStyleRowBandSize w:val="1"/>
      <w:tblStyleColBandSize w:val="1"/>
      <w:tblCellMar>
        <w:top w:w="100.0" w:type="dxa"/>
        <w:left w:w="140.0" w:type="dxa"/>
        <w:bottom w:w="100.0" w:type="dxa"/>
        <w:right w:w="140.0" w:type="dxa"/>
      </w:tblCellMar>
    </w:tblPr>
  </w:style>
  <w:style w:type="table" w:styleId="Table36">
    <w:basedOn w:val="TableNormal"/>
    <w:tblPr>
      <w:tblStyleRowBandSize w:val="1"/>
      <w:tblStyleColBandSize w:val="1"/>
      <w:tblCellMar>
        <w:top w:w="100.0" w:type="dxa"/>
        <w:left w:w="140.0" w:type="dxa"/>
        <w:bottom w:w="100.0" w:type="dxa"/>
        <w:right w:w="140.0" w:type="dxa"/>
      </w:tblCellMar>
    </w:tblPr>
  </w:style>
  <w:style w:type="table" w:styleId="Table37">
    <w:basedOn w:val="TableNormal"/>
    <w:tblPr>
      <w:tblStyleRowBandSize w:val="1"/>
      <w:tblStyleColBandSize w:val="1"/>
      <w:tblCellMar>
        <w:top w:w="140.0" w:type="dxa"/>
        <w:left w:w="200.0" w:type="dxa"/>
        <w:bottom w:w="140.0" w:type="dxa"/>
        <w:right w:w="16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7tBkr/v7RTyZbSyn2S7d90xwsw==">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