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Caudex-bold.ttf" ContentType="application/x-font-ttf"/>
  <Override PartName="/word/fonts/Caudex-boldItalic.ttf" ContentType="application/x-font-ttf"/>
  <Override PartName="/word/fonts/Caudex-italic.ttf" ContentType="application/x-font-ttf"/>
  <Override PartName="/word/fonts/Caudex-regular.ttf" ContentType="application/x-font-ttf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pPr>
        <w:spacing w:before="0" w:after="600"/>
        <w:jc w:val="left"/>
      </w:pPr>
      <w:r>
        <w:drawing>
          <wp:inline>
            <wp:extent cx="1828800" cy="4046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avAI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404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0"/>
      </w:pPr>
    </w:p>
    <w:p>
      <w:pPr>
        <w:spacing w:before="0" w:after="0"/>
      </w:pPr>
    </w:p>
    <w:p>
      <w:pPr>
        <w:spacing w:before="0" w:after="0"/>
      </w:pPr>
    </w:p>
    <w:p>
      <w:pPr>
        <w:spacing w:before="0" w:after="0"/>
      </w:pPr>
    </w:p>
    <w:p>
      <w:pPr>
        <w:spacing w:before="0" w:after="200"/>
      </w:pPr>
      <w:r>
        <w:rPr>
          <w:rFonts w:ascii="Arial" w:hAnsi="Arial"/>
          <w:b/>
          <w:i w:val="0"/>
          <w:color w:val="1B3A6B"/>
          <w:sz w:val="56"/>
        </w:rPr>
        <w:t>Kav AI — MVP v0.2</w:t>
      </w:r>
    </w:p>
    <w:p>
      <w:pPr>
        <w:spacing w:before="0" w:after="120"/>
      </w:pPr>
      <w:r>
        <w:rPr>
          <w:rFonts w:ascii="Arial" w:hAnsi="Arial"/>
          <w:b w:val="0"/>
          <w:i w:val="0"/>
          <w:color w:val="0D7680"/>
          <w:sz w:val="32"/>
        </w:rPr>
        <w:t>Repeatability, Scale, and Decision Context</w:t>
      </w:r>
    </w:p>
    <w:p>
      <w:pPr>
        <w:spacing w:before="0" w:after="600"/>
      </w:pPr>
      <w:r>
        <w:rPr>
          <w:rFonts w:ascii="Arial" w:hAnsi="Arial"/>
          <w:b w:val="0"/>
          <w:i/>
          <w:color w:val="666666"/>
          <w:sz w:val="26"/>
        </w:rPr>
        <w:t>Proving the consistency and economic impact of Kav AI.</w:t>
      </w:r>
    </w:p>
    <w:p>
      <w:pPr>
        <w:spacing w:before="0" w:after="0"/>
      </w:pPr>
    </w:p>
    <w:p>
      <w:pPr>
        <w:spacing w:before="0" w:after="0"/>
      </w:pPr>
    </w:p>
    <w:p>
      <w:pPr>
        <w:spacing w:before="0" w:after="0"/>
      </w:pPr>
    </w:p>
    <w:p>
      <w:pPr>
        <w:spacing w:before="0" w:after="0"/>
      </w:pPr>
    </w:p>
    <w:p>
      <w:pPr>
        <w:spacing w:before="0" w:after="60"/>
      </w:pPr>
      <w:r>
        <w:rPr>
          <w:rFonts w:ascii="Arial" w:hAnsi="Arial"/>
          <w:b w:val="0"/>
          <w:i w:val="0"/>
          <w:color w:val="666666"/>
          <w:sz w:val="21"/>
        </w:rPr>
        <w:t>Version:  0.2</w:t>
      </w:r>
    </w:p>
    <w:p>
      <w:pPr>
        <w:spacing w:before="0" w:after="60"/>
      </w:pPr>
      <w:r>
        <w:rPr>
          <w:rFonts w:ascii="Arial" w:hAnsi="Arial"/>
          <w:b w:val="0"/>
          <w:i w:val="0"/>
          <w:color w:val="666666"/>
          <w:sz w:val="21"/>
        </w:rPr>
        <w:t>Date:  2026-04-14</w:t>
      </w:r>
    </w:p>
    <w:p>
      <w:pPr>
        <w:spacing w:before="0" w:after="60"/>
      </w:pPr>
      <w:r>
        <w:rPr>
          <w:rFonts w:ascii="Arial" w:hAnsi="Arial"/>
          <w:b w:val="0"/>
          <w:i w:val="0"/>
          <w:color w:val="666666"/>
          <w:sz w:val="21"/>
        </w:rPr>
        <w:t>Author:  Kav AI Development Team</w:t>
      </w:r>
    </w:p>
    <w:p>
      <w:r>
        <w:br w:type="page"/>
      </w:r>
    </w:p>
    <w:p>
      <w:pPr>
        <w:pStyle w:val="Heading2"/>
      </w:pPr>
      <w:r>
        <w:rPr>
          <w:b w:val="0"/>
          <w:i w:val="0"/>
        </w:rPr>
        <w:t>1. Purpose</w:t>
      </w:r>
    </w:p>
    <w:p>
      <w:pPr>
        <w:spacing w:before="0" w:after="120"/>
      </w:pPr>
      <w:r>
        <w:rPr>
          <w:b w:val="0"/>
          <w:i w:val="0"/>
        </w:rPr>
        <w:t xml:space="preserve">MVP v0.2 demonstrates that Kav AI is not a one-off detection tool, but a </w:t>
      </w:r>
      <w:r>
        <w:rPr>
          <w:b/>
          <w:i w:val="0"/>
        </w:rPr>
        <w:t>scalable system for identifying, prioritizing, and acting on integrity risks across an industrial facility</w:t>
      </w:r>
      <w:r>
        <w:rPr>
          <w:b w:val="0"/>
          <w:i w:val="0"/>
        </w:rPr>
        <w:t>.</w:t>
      </w:r>
    </w:p>
    <w:p>
      <w:pPr>
        <w:spacing w:before="0" w:after="120"/>
      </w:pPr>
      <w:r>
        <w:rPr>
          <w:b w:val="0"/>
          <w:i w:val="0"/>
        </w:rPr>
        <w:t>This version moves beyond single-anomaly demos and establishes three core capabilities:</w:t>
      </w:r>
    </w:p>
    <w:p>
      <w:pPr>
        <w:spacing w:before="0" w:after="60"/>
        <w:ind w:left="504" w:hanging="288"/>
      </w:pPr>
      <w:r>
        <w:t xml:space="preserve">•  </w:t>
      </w:r>
      <w:r>
        <w:rPr>
          <w:b/>
          <w:i w:val="0"/>
        </w:rPr>
        <w:t>Repeatability</w:t>
      </w:r>
      <w:r>
        <w:rPr>
          <w:b w:val="0"/>
          <w:i w:val="0"/>
        </w:rPr>
        <w:t xml:space="preserve"> — consistent detection across many assets</w:t>
      </w:r>
    </w:p>
    <w:p>
      <w:pPr>
        <w:spacing w:before="0" w:after="60"/>
        <w:ind w:left="504" w:hanging="288"/>
      </w:pPr>
      <w:r>
        <w:t xml:space="preserve">•  </w:t>
      </w:r>
      <w:r>
        <w:rPr>
          <w:b/>
          <w:i w:val="0"/>
        </w:rPr>
        <w:t>Scale</w:t>
      </w:r>
      <w:r>
        <w:rPr>
          <w:b w:val="0"/>
          <w:i w:val="0"/>
        </w:rPr>
        <w:t xml:space="preserve"> — meaningful coverage of real facilities</w:t>
      </w:r>
    </w:p>
    <w:p>
      <w:pPr>
        <w:spacing w:before="0" w:after="60"/>
        <w:ind w:left="504" w:hanging="288"/>
      </w:pPr>
      <w:r>
        <w:t xml:space="preserve">•  </w:t>
      </w:r>
      <w:r>
        <w:rPr>
          <w:b/>
          <w:i w:val="0"/>
        </w:rPr>
        <w:t>Actionability</w:t>
      </w:r>
      <w:r>
        <w:rPr>
          <w:b w:val="0"/>
          <w:i w:val="0"/>
        </w:rPr>
        <w:t xml:space="preserve"> — clear prioritization and recommended next steps</w:t>
      </w:r>
    </w:p>
    <w:p>
      <w:pPr>
        <w:spacing w:before="0" w:after="120"/>
      </w:pPr>
      <w:r>
        <w:rPr>
          <w:b w:val="0"/>
          <w:i w:val="0"/>
        </w:rPr>
        <w:t>---</w:t>
      </w:r>
    </w:p>
    <w:p>
      <w:pPr>
        <w:pStyle w:val="Heading2"/>
      </w:pPr>
      <w:r>
        <w:rPr>
          <w:b w:val="0"/>
          <w:i w:val="0"/>
        </w:rPr>
        <w:t>2. What This MVP Proves</w:t>
      </w:r>
    </w:p>
    <w:p>
      <w:pPr>
        <w:spacing w:before="0" w:after="120"/>
      </w:pPr>
      <w:r>
        <w:rPr>
          <w:b w:val="0"/>
          <w:i w:val="0"/>
        </w:rPr>
        <w:t>MVP v0.2 answers the key questions an operator will ask:</w:t>
      </w:r>
    </w:p>
    <w:p>
      <w:pPr>
        <w:pStyle w:val="Heading3"/>
      </w:pPr>
      <w:r>
        <w:rPr>
          <w:b w:val="0"/>
          <w:i w:val="0"/>
        </w:rPr>
        <w:t>Can this system scale beyond a demo?</w:t>
      </w:r>
    </w:p>
    <w:p>
      <w:pPr>
        <w:spacing w:before="0" w:after="120"/>
      </w:pPr>
      <w:r>
        <w:rPr>
          <w:b w:val="0"/>
          <w:i w:val="0"/>
        </w:rPr>
        <w:t xml:space="preserve">Yes — the platform processes </w:t>
      </w:r>
      <w:r>
        <w:rPr>
          <w:b/>
          <w:i w:val="0"/>
        </w:rPr>
        <w:t>thousands of assets and dozens of anomalies in a single run</w:t>
      </w:r>
      <w:r>
        <w:rPr>
          <w:b w:val="0"/>
          <w:i w:val="0"/>
        </w:rPr>
        <w:t>, not just isolated findings.</w:t>
      </w:r>
    </w:p>
    <w:p>
      <w:pPr>
        <w:pStyle w:val="Heading3"/>
      </w:pPr>
      <w:r>
        <w:rPr>
          <w:b w:val="0"/>
          <w:i w:val="0"/>
        </w:rPr>
        <w:t>Does it help me decide what to do?</w:t>
      </w:r>
    </w:p>
    <w:p>
      <w:pPr>
        <w:spacing w:before="0" w:after="120"/>
      </w:pPr>
      <w:r>
        <w:rPr>
          <w:b w:val="0"/>
          <w:i w:val="0"/>
        </w:rPr>
        <w:t xml:space="preserve">Yes — every high-priority anomaly includes </w:t>
      </w:r>
      <w:r>
        <w:rPr>
          <w:b/>
          <w:i w:val="0"/>
        </w:rPr>
        <w:t>recommended inspection actions</w:t>
      </w:r>
      <w:r>
        <w:rPr>
          <w:b w:val="0"/>
          <w:i w:val="0"/>
        </w:rPr>
        <w:t xml:space="preserve"> tied to operational workflows.</w:t>
      </w:r>
    </w:p>
    <w:p>
      <w:pPr>
        <w:pStyle w:val="Heading3"/>
      </w:pPr>
      <w:r>
        <w:rPr>
          <w:b w:val="0"/>
          <w:i w:val="0"/>
        </w:rPr>
        <w:t>Is the output meaningful to my business?</w:t>
      </w:r>
    </w:p>
    <w:p>
      <w:pPr>
        <w:spacing w:before="0" w:after="120"/>
      </w:pPr>
      <w:r>
        <w:rPr>
          <w:b w:val="0"/>
          <w:i w:val="0"/>
        </w:rPr>
        <w:t xml:space="preserve">Yes — findings are connected to </w:t>
      </w:r>
      <w:r>
        <w:rPr>
          <w:b/>
          <w:i w:val="0"/>
        </w:rPr>
        <w:t>risk and economic impact</w:t>
      </w:r>
      <w:r>
        <w:rPr>
          <w:b w:val="0"/>
          <w:i w:val="0"/>
        </w:rPr>
        <w:t>, not just temperature differences.</w:t>
      </w:r>
    </w:p>
    <w:p>
      <w:pPr>
        <w:spacing w:before="0" w:after="120"/>
      </w:pPr>
      <w:r>
        <w:rPr>
          <w:b w:val="0"/>
          <w:i w:val="0"/>
        </w:rPr>
        <w:t>---</w:t>
      </w:r>
    </w:p>
    <w:p>
      <w:pPr>
        <w:pStyle w:val="Heading2"/>
      </w:pPr>
      <w:r>
        <w:rPr>
          <w:b w:val="0"/>
          <w:i w:val="0"/>
        </w:rPr>
        <w:t>3. System Output Overview</w:t>
      </w:r>
    </w:p>
    <w:p>
      <w:pPr>
        <w:pStyle w:val="Heading3"/>
      </w:pPr>
      <w:r>
        <w:rPr>
          <w:b w:val="0"/>
          <w:i w:val="0"/>
        </w:rPr>
        <w:t>Facility Scan Summary</w:t>
      </w:r>
    </w:p>
    <w:p>
      <w:pPr>
        <w:spacing w:before="0" w:after="60"/>
        <w:ind w:left="504" w:hanging="288"/>
      </w:pPr>
      <w:r>
        <w:t xml:space="preserve">•  </w:t>
      </w:r>
      <w:r>
        <w:rPr>
          <w:b/>
          <w:i w:val="0"/>
        </w:rPr>
        <w:t>Assets scanned:</w:t>
      </w:r>
      <w:r>
        <w:rPr>
          <w:b w:val="0"/>
          <w:i w:val="0"/>
        </w:rPr>
        <w:t xml:space="preserve"> 1,200</w:t>
      </w:r>
    </w:p>
    <w:p>
      <w:pPr>
        <w:spacing w:before="0" w:after="60"/>
        <w:ind w:left="504" w:hanging="288"/>
      </w:pPr>
      <w:r>
        <w:t xml:space="preserve">•  </w:t>
      </w:r>
      <w:r>
        <w:rPr>
          <w:b/>
          <w:i w:val="0"/>
        </w:rPr>
        <w:t>Thermal anomalies detected:</w:t>
      </w:r>
      <w:r>
        <w:rPr>
          <w:b w:val="0"/>
          <w:i w:val="0"/>
        </w:rPr>
        <w:t xml:space="preserve"> 37</w:t>
      </w:r>
    </w:p>
    <w:p>
      <w:pPr>
        <w:spacing w:before="0" w:after="60"/>
        <w:ind w:left="504" w:hanging="288"/>
      </w:pPr>
      <w:r>
        <w:t xml:space="preserve">•  </w:t>
      </w:r>
      <w:r>
        <w:rPr>
          <w:b/>
          <w:i w:val="0"/>
        </w:rPr>
        <w:t>High-priority anomalies:</w:t>
      </w:r>
      <w:r>
        <w:rPr>
          <w:b w:val="0"/>
          <w:i w:val="0"/>
        </w:rPr>
        <w:t xml:space="preserve"> 8</w:t>
      </w:r>
    </w:p>
    <w:p>
      <w:pPr>
        <w:spacing w:before="0" w:after="60"/>
        <w:ind w:left="504" w:hanging="288"/>
      </w:pPr>
      <w:r>
        <w:t xml:space="preserve">•  </w:t>
      </w:r>
      <w:r>
        <w:rPr>
          <w:b/>
          <w:i w:val="0"/>
        </w:rPr>
        <w:t>Coverage achieved:</w:t>
      </w:r>
      <w:r>
        <w:rPr>
          <w:b w:val="0"/>
          <w:i w:val="0"/>
        </w:rPr>
        <w:t xml:space="preserve"> 65% of unit in a single deployment</w:t>
      </w:r>
    </w:p>
    <w:p>
      <w:pPr>
        <w:spacing w:before="0" w:after="120"/>
      </w:pPr>
      <w:r>
        <w:rPr>
          <w:b w:val="0"/>
          <w:i w:val="0"/>
        </w:rPr>
        <w:t xml:space="preserve">This establishes that Kav AI can operate at </w:t>
      </w:r>
      <w:r>
        <w:rPr>
          <w:b/>
          <w:i w:val="0"/>
        </w:rPr>
        <w:t>facility-relevant scale</w:t>
      </w:r>
      <w:r>
        <w:rPr>
          <w:b w:val="0"/>
          <w:i w:val="0"/>
        </w:rPr>
        <w:t>, not just isolated inspection points.</w:t>
      </w:r>
    </w:p>
    <w:p>
      <w:pPr>
        <w:spacing w:before="0" w:after="120"/>
      </w:pPr>
      <w:r>
        <w:rPr>
          <w:b w:val="0"/>
          <w:i w:val="0"/>
        </w:rPr>
        <w:t>---</w:t>
      </w:r>
    </w:p>
    <w:p>
      <w:pPr>
        <w:pStyle w:val="Heading2"/>
      </w:pPr>
      <w:r>
        <w:rPr>
          <w:b w:val="0"/>
          <w:i w:val="0"/>
        </w:rPr>
        <w:t>4. Example Finding (Representative)</w:t>
      </w:r>
    </w:p>
    <w:p>
      <w:pPr>
        <w:spacing w:before="0" w:after="120"/>
      </w:pPr>
      <w:r>
        <w:rPr>
          <w:b/>
          <w:i w:val="0"/>
        </w:rPr>
        <w:t>Asset:</w:t>
      </w:r>
      <w:r>
        <w:rPr>
          <w:b w:val="0"/>
          <w:i w:val="0"/>
        </w:rPr>
        <w:t xml:space="preserve"> Insulated process piping</w:t>
      </w:r>
    </w:p>
    <w:p>
      <w:pPr>
        <w:spacing w:before="0" w:after="120"/>
      </w:pPr>
      <w:r>
        <w:rPr>
          <w:b/>
          <w:i w:val="0"/>
        </w:rPr>
        <w:t>Observed condition:</w:t>
      </w:r>
    </w:p>
    <w:p>
      <w:pPr>
        <w:spacing w:before="0" w:after="60"/>
        <w:ind w:left="504" w:hanging="288"/>
      </w:pPr>
      <w:r>
        <w:t xml:space="preserve">•  </w:t>
      </w:r>
      <w:r>
        <w:rPr>
          <w:b w:val="0"/>
          <w:i w:val="0"/>
        </w:rPr>
        <w:t>Surface temperature: ~120°F</w:t>
      </w:r>
    </w:p>
    <w:p>
      <w:pPr>
        <w:spacing w:before="0" w:after="60"/>
        <w:ind w:left="504" w:hanging="288"/>
      </w:pPr>
      <w:r>
        <w:t xml:space="preserve">•  </w:t>
      </w:r>
      <w:r>
        <w:rPr>
          <w:b w:val="0"/>
          <w:i w:val="0"/>
        </w:rPr>
        <w:t>Ambient temperature: ~35°F</w:t>
      </w:r>
    </w:p>
    <w:p>
      <w:pPr>
        <w:spacing w:before="0" w:after="60"/>
        <w:ind w:left="504" w:hanging="288"/>
      </w:pPr>
      <w:r>
        <w:t xml:space="preserve">•  </w:t>
      </w:r>
      <w:r>
        <w:rPr>
          <w:b w:val="0"/>
          <w:i w:val="0"/>
        </w:rPr>
        <w:t>ΔT: ~85°F</w:t>
      </w:r>
    </w:p>
    <w:p>
      <w:pPr>
        <w:spacing w:before="0" w:after="120"/>
      </w:pPr>
      <w:r>
        <w:rPr>
          <w:b/>
          <w:i w:val="0"/>
        </w:rPr>
        <w:t>Secondary signal:</w:t>
      </w:r>
    </w:p>
    <w:p>
      <w:pPr>
        <w:spacing w:before="0" w:after="60"/>
        <w:ind w:left="504" w:hanging="288"/>
      </w:pPr>
      <w:r>
        <w:t xml:space="preserve">•  </w:t>
      </w:r>
      <w:r>
        <w:rPr>
          <w:b w:val="0"/>
          <w:i w:val="0"/>
        </w:rPr>
        <w:t>Structural steel nearby shows ΔT ~49°F</w:t>
      </w:r>
    </w:p>
    <w:p>
      <w:pPr>
        <w:spacing w:before="0" w:after="120"/>
      </w:pPr>
      <w:r>
        <w:rPr>
          <w:b/>
          <w:i w:val="0"/>
        </w:rPr>
        <w:t>Interpretation:</w:t>
      </w:r>
    </w:p>
    <w:p>
      <w:pPr>
        <w:spacing w:before="0" w:after="60"/>
        <w:ind w:left="504" w:hanging="288"/>
      </w:pPr>
      <w:r>
        <w:t xml:space="preserve">•  </w:t>
      </w:r>
      <w:r>
        <w:rPr>
          <w:b w:val="0"/>
          <w:i w:val="0"/>
        </w:rPr>
        <w:t xml:space="preserve">Thermal signature consistent with </w:t>
      </w:r>
      <w:r>
        <w:rPr>
          <w:b/>
          <w:i w:val="0"/>
        </w:rPr>
        <w:t>insulation breakdown</w:t>
      </w:r>
    </w:p>
    <w:p>
      <w:pPr>
        <w:spacing w:before="0" w:after="60"/>
        <w:ind w:left="504" w:hanging="288"/>
      </w:pPr>
      <w:r>
        <w:t xml:space="preserve">•  </w:t>
      </w:r>
      <w:r>
        <w:rPr>
          <w:b w:val="0"/>
          <w:i w:val="0"/>
        </w:rPr>
        <w:t xml:space="preserve">Elevated likelihood of </w:t>
      </w:r>
      <w:r>
        <w:rPr>
          <w:b/>
          <w:i w:val="0"/>
        </w:rPr>
        <w:t>Corrosion Under Insulation (CUI)</w:t>
      </w:r>
    </w:p>
    <w:p>
      <w:pPr>
        <w:spacing w:before="0" w:after="120"/>
      </w:pPr>
      <w:r>
        <w:rPr>
          <w:b/>
          <w:i w:val="0"/>
        </w:rPr>
        <w:t>Recommended action:</w:t>
      </w:r>
    </w:p>
    <w:p>
      <w:pPr>
        <w:spacing w:before="0" w:after="60"/>
        <w:ind w:left="504" w:hanging="288"/>
      </w:pPr>
      <w:r>
        <w:t xml:space="preserve">•  </w:t>
      </w:r>
      <w:r>
        <w:rPr>
          <w:b w:val="0"/>
          <w:i w:val="0"/>
        </w:rPr>
        <w:t>Prioritize this location for:</w:t>
      </w:r>
    </w:p>
    <w:p>
      <w:pPr>
        <w:spacing w:before="0" w:after="60"/>
        <w:ind w:left="504" w:hanging="288"/>
      </w:pPr>
      <w:r>
        <w:t xml:space="preserve">•  </w:t>
      </w:r>
      <w:r>
        <w:rPr>
          <w:b w:val="0"/>
          <w:i w:val="0"/>
        </w:rPr>
        <w:t>Insulation removal</w:t>
      </w:r>
    </w:p>
    <w:p>
      <w:pPr>
        <w:spacing w:before="0" w:after="60"/>
        <w:ind w:left="504" w:hanging="288"/>
      </w:pPr>
      <w:r>
        <w:t xml:space="preserve">•  </w:t>
      </w:r>
      <w:r>
        <w:rPr>
          <w:b w:val="0"/>
          <w:i w:val="0"/>
        </w:rPr>
        <w:t>Ultrasonic thickness (UT) inspection</w:t>
      </w:r>
    </w:p>
    <w:p>
      <w:pPr>
        <w:spacing w:before="0" w:after="120"/>
      </w:pPr>
      <w:r>
        <w:rPr>
          <w:b w:val="0"/>
          <w:i w:val="0"/>
        </w:rPr>
        <w:t xml:space="preserve">This demonstrates the transition from </w:t>
      </w:r>
      <w:r>
        <w:rPr>
          <w:b/>
          <w:i w:val="0"/>
        </w:rPr>
        <w:t>detection → diagnosis → action</w:t>
      </w:r>
      <w:r>
        <w:rPr>
          <w:b w:val="0"/>
          <w:i w:val="0"/>
        </w:rPr>
        <w:t>.</w:t>
      </w:r>
    </w:p>
    <w:p>
      <w:pPr>
        <w:spacing w:before="0" w:after="120"/>
      </w:pPr>
      <w:r>
        <w:rPr>
          <w:b w:val="0"/>
          <w:i w:val="0"/>
        </w:rPr>
        <w:t>---</w:t>
      </w:r>
    </w:p>
    <w:p>
      <w:pPr>
        <w:pStyle w:val="Heading2"/>
      </w:pPr>
      <w:r>
        <w:rPr>
          <w:b w:val="0"/>
          <w:i w:val="0"/>
        </w:rPr>
        <w:t>5. Prioritization Output</w:t>
      </w:r>
    </w:p>
    <w:p>
      <w:pPr>
        <w:spacing w:before="0" w:after="120"/>
      </w:pPr>
      <w:r>
        <w:rPr>
          <w:b w:val="0"/>
          <w:i w:val="0"/>
        </w:rPr>
        <w:t xml:space="preserve">Instead of a flat list of anomalies, MVP v0.2 produces a </w:t>
      </w:r>
      <w:r>
        <w:rPr>
          <w:b/>
          <w:i w:val="0"/>
        </w:rPr>
        <w:t>ranked inspection set</w:t>
      </w:r>
      <w:r>
        <w:rPr>
          <w:b w:val="0"/>
          <w:i w:val="0"/>
        </w:rPr>
        <w:t>:</w:t>
      </w:r>
    </w:p>
    <w:p>
      <w:pPr>
        <w:spacing w:before="0" w:after="60"/>
        <w:ind w:left="504" w:hanging="288"/>
      </w:pPr>
      <w:r>
        <w:t xml:space="preserve">•  </w:t>
      </w:r>
      <w:r>
        <w:rPr>
          <w:b/>
          <w:i w:val="0"/>
        </w:rPr>
        <w:t>High-priority locations:</w:t>
      </w:r>
      <w:r>
        <w:rPr>
          <w:b w:val="0"/>
          <w:i w:val="0"/>
        </w:rPr>
        <w:t xml:space="preserve"> 8</w:t>
      </w:r>
    </w:p>
    <w:p>
      <w:pPr>
        <w:spacing w:before="0" w:after="60"/>
        <w:ind w:left="504" w:hanging="288"/>
      </w:pPr>
      <w:r>
        <w:t xml:space="preserve">•  </w:t>
      </w:r>
      <w:r>
        <w:rPr>
          <w:b/>
          <w:i w:val="0"/>
        </w:rPr>
        <w:t>Recommended timing:</w:t>
      </w:r>
      <w:r>
        <w:rPr>
          <w:b w:val="0"/>
          <w:i w:val="0"/>
        </w:rPr>
        <w:t xml:space="preserve"> Next scheduled shutdown</w:t>
      </w:r>
    </w:p>
    <w:p>
      <w:pPr>
        <w:spacing w:before="0" w:after="120"/>
      </w:pPr>
      <w:r>
        <w:rPr>
          <w:b/>
          <w:i w:val="0"/>
        </w:rPr>
        <w:t>Selection basis:</w:t>
      </w:r>
    </w:p>
    <w:p>
      <w:pPr>
        <w:spacing w:before="0" w:after="60"/>
        <w:ind w:left="504" w:hanging="288"/>
      </w:pPr>
      <w:r>
        <w:t xml:space="preserve">•  </w:t>
      </w:r>
      <w:r>
        <w:rPr>
          <w:b w:val="0"/>
          <w:i w:val="0"/>
        </w:rPr>
        <w:t>Thermal severity</w:t>
      </w:r>
    </w:p>
    <w:p>
      <w:pPr>
        <w:spacing w:before="0" w:after="60"/>
        <w:ind w:left="504" w:hanging="288"/>
      </w:pPr>
      <w:r>
        <w:t xml:space="preserve">•  </w:t>
      </w:r>
      <w:r>
        <w:rPr>
          <w:b w:val="0"/>
          <w:i w:val="0"/>
        </w:rPr>
        <w:t>Pattern consistency</w:t>
      </w:r>
    </w:p>
    <w:p>
      <w:pPr>
        <w:spacing w:before="0" w:after="60"/>
        <w:ind w:left="504" w:hanging="288"/>
      </w:pPr>
      <w:r>
        <w:t xml:space="preserve">•  </w:t>
      </w:r>
      <w:r>
        <w:rPr>
          <w:b w:val="0"/>
          <w:i w:val="0"/>
        </w:rPr>
        <w:t>Cross-asset comparison</w:t>
      </w:r>
    </w:p>
    <w:p>
      <w:pPr>
        <w:spacing w:before="0" w:after="120"/>
      </w:pPr>
      <w:r>
        <w:rPr>
          <w:b w:val="0"/>
          <w:i w:val="0"/>
        </w:rPr>
        <w:t xml:space="preserve">This ensures inspection teams know </w:t>
      </w:r>
      <w:r>
        <w:rPr>
          <w:b/>
          <w:i w:val="0"/>
        </w:rPr>
        <w:t>where to act first</w:t>
      </w:r>
      <w:r>
        <w:rPr>
          <w:b w:val="0"/>
          <w:i w:val="0"/>
        </w:rPr>
        <w:t>, not just what exists.</w:t>
      </w:r>
    </w:p>
    <w:p>
      <w:pPr>
        <w:spacing w:before="0" w:after="120"/>
      </w:pPr>
      <w:r>
        <w:rPr>
          <w:b w:val="0"/>
          <w:i w:val="0"/>
        </w:rPr>
        <w:t>---</w:t>
      </w:r>
    </w:p>
    <w:p>
      <w:pPr>
        <w:pStyle w:val="Heading2"/>
      </w:pPr>
      <w:r>
        <w:rPr>
          <w:b w:val="0"/>
          <w:i w:val="0"/>
        </w:rPr>
        <w:t>6. Coverage Context</w:t>
      </w:r>
    </w:p>
    <w:p>
      <w:pPr>
        <w:spacing w:before="0" w:after="120"/>
      </w:pPr>
      <w:r>
        <w:rPr>
          <w:b w:val="0"/>
          <w:i w:val="0"/>
        </w:rPr>
        <w:t>A key limitation of early demos is lack of context around scale. MVP v0.2 explicitly shows:</w:t>
      </w:r>
    </w:p>
    <w:p>
      <w:pPr>
        <w:spacing w:before="0" w:after="60"/>
        <w:ind w:left="504" w:hanging="288"/>
      </w:pPr>
      <w:r>
        <w:t xml:space="preserve">•  </w:t>
      </w:r>
      <w:r>
        <w:rPr>
          <w:b/>
          <w:i w:val="0"/>
        </w:rPr>
        <w:t>65% of a process unit scanned in one day</w:t>
      </w:r>
    </w:p>
    <w:p>
      <w:pPr>
        <w:spacing w:before="0" w:after="60"/>
        <w:ind w:left="504" w:hanging="288"/>
      </w:pPr>
      <w:r>
        <w:t xml:space="preserve">•  </w:t>
      </w:r>
      <w:r>
        <w:rPr>
          <w:b w:val="0"/>
          <w:i w:val="0"/>
        </w:rPr>
        <w:t xml:space="preserve">Coverage is </w:t>
      </w:r>
      <w:r>
        <w:rPr>
          <w:b/>
          <w:i w:val="0"/>
        </w:rPr>
        <w:t>repeatable and extendable</w:t>
      </w:r>
      <w:r>
        <w:rPr>
          <w:b w:val="0"/>
          <w:i w:val="0"/>
        </w:rPr>
        <w:t xml:space="preserve"> across the facility</w:t>
      </w:r>
    </w:p>
    <w:p>
      <w:pPr>
        <w:spacing w:before="0" w:after="120"/>
      </w:pPr>
      <w:r>
        <w:rPr>
          <w:b w:val="0"/>
          <w:i w:val="0"/>
        </w:rPr>
        <w:t>This reframes the system from:</w:t>
      </w:r>
    </w:p>
    <w:p>
      <w:pPr>
        <w:spacing w:before="0" w:after="60"/>
        <w:ind w:left="504" w:hanging="288"/>
      </w:pPr>
      <w:r>
        <w:t xml:space="preserve">•  </w:t>
      </w:r>
      <w:r>
        <w:rPr>
          <w:b w:val="0"/>
          <w:i w:val="0"/>
        </w:rPr>
        <w:t>“interesting detection tool”</w:t>
      </w:r>
    </w:p>
    <w:p>
      <w:pPr>
        <w:spacing w:before="0" w:after="120"/>
      </w:pPr>
      <w:r>
        <w:rPr>
          <w:b w:val="0"/>
          <w:i w:val="0"/>
        </w:rPr>
        <w:t xml:space="preserve">→ to - </w:t>
      </w:r>
      <w:r>
        <w:rPr>
          <w:b/>
          <w:i w:val="0"/>
        </w:rPr>
        <w:t>practical inspection coverage solution</w:t>
      </w:r>
    </w:p>
    <w:p>
      <w:pPr>
        <w:spacing w:before="0" w:after="120"/>
      </w:pPr>
      <w:r>
        <w:rPr>
          <w:b w:val="0"/>
          <w:i w:val="0"/>
        </w:rPr>
        <w:t>---</w:t>
      </w:r>
    </w:p>
    <w:p>
      <w:pPr>
        <w:pStyle w:val="Heading2"/>
      </w:pPr>
      <w:r>
        <w:rPr>
          <w:b w:val="0"/>
          <w:i w:val="0"/>
        </w:rPr>
        <w:t>7. Economic Impact Framing</w:t>
      </w:r>
    </w:p>
    <w:p>
      <w:pPr>
        <w:spacing w:before="0" w:after="120"/>
      </w:pPr>
      <w:r>
        <w:rPr>
          <w:b w:val="0"/>
          <w:i w:val="0"/>
        </w:rPr>
        <w:t xml:space="preserve">Thermal anomalies are translated into </w:t>
      </w:r>
      <w:r>
        <w:rPr>
          <w:b/>
          <w:i w:val="0"/>
        </w:rPr>
        <w:t>business-relevant risk</w:t>
      </w:r>
      <w:r>
        <w:rPr>
          <w:b w:val="0"/>
          <w:i w:val="0"/>
        </w:rPr>
        <w:t>:</w:t>
      </w:r>
    </w:p>
    <w:p>
      <w:pPr>
        <w:spacing w:before="0" w:after="60"/>
        <w:ind w:left="504" w:hanging="288"/>
      </w:pPr>
      <w:r>
        <w:t xml:space="preserve">•  </w:t>
      </w:r>
      <w:r>
        <w:rPr>
          <w:b w:val="0"/>
          <w:i w:val="0"/>
        </w:rPr>
        <w:t>Typical failure consequence (if unaddressed):</w:t>
      </w:r>
    </w:p>
    <w:p>
      <w:pPr>
        <w:spacing w:before="0" w:after="60"/>
        <w:ind w:left="504" w:hanging="288"/>
      </w:pPr>
      <w:r>
        <w:t xml:space="preserve">•  </w:t>
      </w:r>
      <w:r>
        <w:rPr>
          <w:b/>
          <w:i w:val="0"/>
        </w:rPr>
        <w:t>$500K – $2M event risk</w:t>
      </w:r>
      <w:r>
        <w:rPr>
          <w:b w:val="0"/>
          <w:i w:val="0"/>
        </w:rPr>
        <w:t xml:space="preserve"> (shutdown, repair, lost production)</w:t>
      </w:r>
    </w:p>
    <w:p>
      <w:pPr>
        <w:spacing w:before="0" w:after="60"/>
        <w:ind w:left="504" w:hanging="288"/>
      </w:pPr>
      <w:r>
        <w:t xml:space="preserve">•  </w:t>
      </w:r>
      <w:r>
        <w:rPr>
          <w:b w:val="0"/>
          <w:i w:val="0"/>
        </w:rPr>
        <w:t>MVP scenario estimate:</w:t>
      </w:r>
    </w:p>
    <w:p>
      <w:pPr>
        <w:spacing w:before="0" w:after="60"/>
        <w:ind w:left="504" w:hanging="288"/>
      </w:pPr>
      <w:r>
        <w:t xml:space="preserve">•  </w:t>
      </w:r>
      <w:r>
        <w:rPr>
          <w:b/>
          <w:i w:val="0"/>
        </w:rPr>
        <w:t>$750K – $1.5M avoided cost potential</w:t>
      </w:r>
    </w:p>
    <w:p>
      <w:pPr>
        <w:spacing w:before="0" w:after="120"/>
      </w:pPr>
      <w:r>
        <w:rPr>
          <w:b w:val="0"/>
          <w:i w:val="0"/>
        </w:rPr>
        <w:t>This ties the output directly to business value.</w:t>
      </w:r>
    </w:p>
    <w:p>
      <w:pPr>
        <w:spacing w:before="0" w:after="120"/>
      </w:pPr>
      <w:r>
        <w:rPr>
          <w:b w:val="0"/>
          <w:i w:val="0"/>
        </w:rPr>
        <w:t>---</w:t>
      </w:r>
    </w:p>
    <w:p>
      <w:pPr>
        <w:pStyle w:val="Heading2"/>
      </w:pPr>
      <w:r>
        <w:rPr>
          <w:b w:val="0"/>
          <w:i w:val="0"/>
        </w:rPr>
        <w:t>8. Role of AI in MVP v0.2</w:t>
      </w:r>
    </w:p>
    <w:p>
      <w:pPr>
        <w:spacing w:before="0" w:after="120"/>
      </w:pPr>
      <w:r>
        <w:rPr>
          <w:b w:val="0"/>
          <w:i w:val="0"/>
        </w:rPr>
        <w:t>A critical shift in this version is clarifying that:</w:t>
      </w:r>
    </w:p>
    <w:p>
      <w:pPr>
        <w:spacing w:before="0" w:after="120"/>
      </w:pPr>
      <w:r>
        <w:rPr>
          <w:b w:val="0"/>
          <w:i w:val="0"/>
        </w:rPr>
        <w:t xml:space="preserve">&gt; The drone and thermal camera collect data — &gt; </w:t>
      </w:r>
      <w:r>
        <w:rPr>
          <w:b/>
          <w:i w:val="0"/>
        </w:rPr>
        <w:t>Kav AI is what makes that data usable at scale.</w:t>
      </w:r>
    </w:p>
    <w:p>
      <w:pPr>
        <w:spacing w:before="0" w:after="120"/>
      </w:pPr>
      <w:r>
        <w:rPr>
          <w:b w:val="0"/>
          <w:i w:val="0"/>
        </w:rPr>
        <w:t>AI responsibilities in v0.2:</w:t>
      </w:r>
    </w:p>
    <w:p>
      <w:pPr>
        <w:spacing w:before="0" w:after="60"/>
        <w:ind w:left="504" w:hanging="288"/>
      </w:pPr>
      <w:r>
        <w:t xml:space="preserve">•  </w:t>
      </w:r>
      <w:r>
        <w:rPr>
          <w:b w:val="0"/>
          <w:i w:val="0"/>
        </w:rPr>
        <w:t>Index and organize inspection data</w:t>
      </w:r>
    </w:p>
    <w:p>
      <w:pPr>
        <w:spacing w:before="0" w:after="60"/>
        <w:ind w:left="504" w:hanging="288"/>
      </w:pPr>
      <w:r>
        <w:t xml:space="preserve">•  </w:t>
      </w:r>
      <w:r>
        <w:rPr>
          <w:b w:val="0"/>
          <w:i w:val="0"/>
        </w:rPr>
        <w:t>Detect anomalies across large datasets</w:t>
      </w:r>
    </w:p>
    <w:p>
      <w:pPr>
        <w:spacing w:before="0" w:after="60"/>
        <w:ind w:left="504" w:hanging="288"/>
      </w:pPr>
      <w:r>
        <w:t xml:space="preserve">•  </w:t>
      </w:r>
      <w:r>
        <w:rPr>
          <w:b w:val="0"/>
          <w:i w:val="0"/>
        </w:rPr>
        <w:t>Rank findings by priority</w:t>
      </w:r>
    </w:p>
    <w:p>
      <w:pPr>
        <w:spacing w:before="0" w:after="60"/>
        <w:ind w:left="504" w:hanging="288"/>
      </w:pPr>
      <w:r>
        <w:t xml:space="preserve">•  </w:t>
      </w:r>
      <w:r>
        <w:rPr>
          <w:b w:val="0"/>
          <w:i w:val="0"/>
        </w:rPr>
        <w:t>Enable retrieval across thousands of assets</w:t>
      </w:r>
    </w:p>
    <w:p>
      <w:pPr>
        <w:spacing w:before="0" w:after="120"/>
      </w:pPr>
      <w:r>
        <w:rPr>
          <w:b w:val="0"/>
          <w:i w:val="0"/>
        </w:rPr>
        <w:t>Without this layer, the workflow does not scale beyond manual review.</w:t>
      </w:r>
    </w:p>
    <w:p>
      <w:pPr>
        <w:spacing w:before="0" w:after="120"/>
      </w:pPr>
      <w:r>
        <w:rPr>
          <w:b w:val="0"/>
          <w:i w:val="0"/>
        </w:rPr>
        <w:t>---</w:t>
      </w:r>
    </w:p>
    <w:p>
      <w:pPr>
        <w:pStyle w:val="Heading2"/>
      </w:pPr>
      <w:r>
        <w:rPr>
          <w:b w:val="0"/>
          <w:i w:val="0"/>
        </w:rPr>
        <w:t>9. Evolution from v0.1</w:t>
      </w:r>
    </w:p>
    <w:p>
      <w:pPr>
        <w:spacing w:before="0" w:after="120"/>
      </w:pPr>
      <w:r>
        <w:rPr>
          <w:b w:val="0"/>
          <w:i w:val="0"/>
        </w:rPr>
        <w:t>MVP v0.2 directly addresses the limitations of earlier demonstrations:</w:t>
      </w:r>
    </w:p>
    <w:tbl>
      <w:tblPr>
        <w:jc w:val="left"/>
        <w:tblLook w:firstColumn="1" w:firstRow="1" w:lastColumn="0" w:lastRow="0" w:noHBand="0" w:noVBand="1" w:val="04A0"/>
        <w:tblW w:w="9360" w:type="dxa"/>
        <w:tblBorders>
          <w:top w:val="single" w:sz="4" w:color="auto"/>
          <w:left w:val="single" w:sz="4" w:color="auto"/>
          <w:bottom w:val="single" w:sz="4" w:color="auto"/>
          <w:right w:val="single" w:sz="4" w:color="auto"/>
          <w:insideH w:val="single" w:sz="4" w:color="auto"/>
          <w:insideV w:val="single" w:sz="4" w:color="auto"/>
        </w:tblBorders>
      </w:tblPr>
      <w:tblGrid>
        <w:gridCol w:w="4680"/>
        <w:gridCol w:w="4680"/>
      </w:tblGrid>
      <w:tr>
        <w:tc>
          <w:tcPr>
            <w:tcW w:type="dxa" w:w="4680"/>
            <w:shd w:val="clear" w:color="auto" w:fill="1B3A6B"/>
            <w:tcMar>
              <w:top w:w="100" w:type="dxa"/>
              <w:bottom w:w="100" w:type="dxa"/>
              <w:left w:w="140" w:type="dxa"/>
              <w:right w:w="140" w:type="dxa"/>
            </w:tcMar>
            <w:vAlign w:val="center"/>
          </w:tcPr>
          <w:p>
            <w:pPr>
              <w:spacing w:before="0" w:after="0"/>
            </w:pPr>
            <w:r/>
            <w:r>
              <w:rPr>
                <w:rFonts w:ascii="Arial" w:hAnsi="Arial"/>
                <w:b/>
                <w:i w:val="0"/>
                <w:color w:val="FFFFFF"/>
                <w:sz w:val="20"/>
              </w:rPr>
              <w:t>Gap in v0.1</w:t>
            </w:r>
          </w:p>
        </w:tc>
        <w:tc>
          <w:tcPr>
            <w:tcW w:type="dxa" w:w="4680"/>
            <w:shd w:val="clear" w:color="auto" w:fill="1B3A6B"/>
            <w:tcMar>
              <w:top w:w="100" w:type="dxa"/>
              <w:bottom w:w="100" w:type="dxa"/>
              <w:left w:w="140" w:type="dxa"/>
              <w:right w:w="140" w:type="dxa"/>
            </w:tcMar>
            <w:vAlign w:val="center"/>
          </w:tcPr>
          <w:p>
            <w:pPr>
              <w:spacing w:before="0" w:after="0"/>
            </w:pPr>
            <w:r/>
            <w:r>
              <w:rPr>
                <w:rFonts w:ascii="Arial" w:hAnsi="Arial"/>
                <w:b/>
                <w:i w:val="0"/>
                <w:color w:val="FFFFFF"/>
                <w:sz w:val="20"/>
              </w:rPr>
              <w:t>Resolution in v0.2</w:t>
            </w:r>
          </w:p>
        </w:tc>
      </w:tr>
      <w:tr>
        <w:tc>
          <w:tcPr>
            <w:tcW w:type="dxa" w:w="4680"/>
            <w:shd w:val="clear" w:color="auto" w:fill="D6E8F5"/>
            <w:tcMar>
              <w:top w:w="100" w:type="dxa"/>
              <w:bottom w:w="100" w:type="dxa"/>
              <w:left w:w="140" w:type="dxa"/>
              <w:right w:w="140" w:type="dxa"/>
            </w:tcMar>
            <w:vAlign w:val="center"/>
          </w:tcPr>
          <w:p>
            <w:pPr>
              <w:spacing w:before="0" w:after="0"/>
            </w:pPr>
            <w:r/>
            <w:r>
              <w:rPr>
                <w:rFonts w:ascii="Arial" w:hAnsi="Arial"/>
                <w:b w:val="0"/>
                <w:i w:val="0"/>
                <w:color w:val="111111"/>
                <w:sz w:val="20"/>
              </w:rPr>
              <w:t>Single anomaly demo</w:t>
            </w:r>
          </w:p>
        </w:tc>
        <w:tc>
          <w:tcPr>
            <w:tcW w:type="dxa" w:w="4680"/>
            <w:shd w:val="clear" w:color="auto" w:fill="D6E8F5"/>
            <w:tcMar>
              <w:top w:w="100" w:type="dxa"/>
              <w:bottom w:w="100" w:type="dxa"/>
              <w:left w:w="140" w:type="dxa"/>
              <w:right w:w="140" w:type="dxa"/>
            </w:tcMar>
            <w:vAlign w:val="center"/>
          </w:tcPr>
          <w:p>
            <w:pPr>
              <w:spacing w:before="0" w:after="0"/>
            </w:pPr>
            <w:r/>
            <w:r>
              <w:rPr>
                <w:rFonts w:ascii="Arial" w:hAnsi="Arial"/>
                <w:b w:val="0"/>
                <w:i w:val="0"/>
                <w:color w:val="111111"/>
                <w:sz w:val="20"/>
              </w:rPr>
              <w:t>37 anomalies across 1,200 assets</w:t>
            </w:r>
          </w:p>
        </w:tc>
      </w:tr>
      <w:tr>
        <w:tc>
          <w:tcPr>
            <w:tcW w:type="dxa" w:w="4680"/>
            <w:shd w:val="clear" w:color="auto" w:fill="D6E8F5"/>
            <w:tcMar>
              <w:top w:w="100" w:type="dxa"/>
              <w:bottom w:w="100" w:type="dxa"/>
              <w:left w:w="140" w:type="dxa"/>
              <w:right w:w="140" w:type="dxa"/>
            </w:tcMar>
            <w:vAlign w:val="center"/>
          </w:tcPr>
          <w:p>
            <w:pPr>
              <w:spacing w:before="0" w:after="0"/>
            </w:pPr>
            <w:r/>
            <w:r>
              <w:rPr>
                <w:rFonts w:ascii="Arial" w:hAnsi="Arial"/>
                <w:b w:val="0"/>
                <w:i w:val="0"/>
                <w:color w:val="111111"/>
                <w:sz w:val="20"/>
              </w:rPr>
              <w:t>Detection only</w:t>
            </w:r>
          </w:p>
        </w:tc>
        <w:tc>
          <w:tcPr>
            <w:tcW w:type="dxa" w:w="4680"/>
            <w:shd w:val="clear" w:color="auto" w:fill="D6E8F5"/>
            <w:tcMar>
              <w:top w:w="100" w:type="dxa"/>
              <w:bottom w:w="100" w:type="dxa"/>
              <w:left w:w="140" w:type="dxa"/>
              <w:right w:w="140" w:type="dxa"/>
            </w:tcMar>
            <w:vAlign w:val="center"/>
          </w:tcPr>
          <w:p>
            <w:pPr>
              <w:spacing w:before="0" w:after="0"/>
            </w:pPr>
            <w:r/>
            <w:r>
              <w:rPr>
                <w:rFonts w:ascii="Arial" w:hAnsi="Arial"/>
                <w:b w:val="0"/>
                <w:i w:val="0"/>
                <w:color w:val="111111"/>
                <w:sz w:val="20"/>
              </w:rPr>
              <w:t>Detection + recommended action</w:t>
            </w:r>
          </w:p>
        </w:tc>
      </w:tr>
      <w:tr>
        <w:tc>
          <w:tcPr>
            <w:tcW w:type="dxa" w:w="4680"/>
            <w:shd w:val="clear" w:color="auto" w:fill="D6E8F5"/>
            <w:tcMar>
              <w:top w:w="100" w:type="dxa"/>
              <w:bottom w:w="100" w:type="dxa"/>
              <w:left w:w="140" w:type="dxa"/>
              <w:right w:w="140" w:type="dxa"/>
            </w:tcMar>
            <w:vAlign w:val="center"/>
          </w:tcPr>
          <w:p>
            <w:pPr>
              <w:spacing w:before="0" w:after="0"/>
            </w:pPr>
            <w:r/>
            <w:r>
              <w:rPr>
                <w:rFonts w:ascii="Arial" w:hAnsi="Arial"/>
                <w:b w:val="0"/>
                <w:i w:val="0"/>
                <w:color w:val="111111"/>
                <w:sz w:val="20"/>
              </w:rPr>
              <w:t>No scale context</w:t>
            </w:r>
          </w:p>
        </w:tc>
        <w:tc>
          <w:tcPr>
            <w:tcW w:type="dxa" w:w="4680"/>
            <w:shd w:val="clear" w:color="auto" w:fill="D6E8F5"/>
            <w:tcMar>
              <w:top w:w="100" w:type="dxa"/>
              <w:bottom w:w="100" w:type="dxa"/>
              <w:left w:w="140" w:type="dxa"/>
              <w:right w:w="140" w:type="dxa"/>
            </w:tcMar>
            <w:vAlign w:val="center"/>
          </w:tcPr>
          <w:p>
            <w:pPr>
              <w:spacing w:before="0" w:after="0"/>
            </w:pPr>
            <w:r/>
            <w:r>
              <w:rPr>
                <w:rFonts w:ascii="Arial" w:hAnsi="Arial"/>
                <w:b w:val="0"/>
                <w:i w:val="0"/>
                <w:color w:val="111111"/>
                <w:sz w:val="20"/>
              </w:rPr>
              <w:t>Explicit coverage metrics (65%)</w:t>
            </w:r>
          </w:p>
        </w:tc>
      </w:tr>
      <w:tr>
        <w:tc>
          <w:tcPr>
            <w:tcW w:type="dxa" w:w="4680"/>
            <w:shd w:val="clear" w:color="auto" w:fill="D6E8F5"/>
            <w:tcMar>
              <w:top w:w="100" w:type="dxa"/>
              <w:bottom w:w="100" w:type="dxa"/>
              <w:left w:w="140" w:type="dxa"/>
              <w:right w:w="140" w:type="dxa"/>
            </w:tcMar>
            <w:vAlign w:val="center"/>
          </w:tcPr>
          <w:p>
            <w:pPr>
              <w:spacing w:before="0" w:after="0"/>
            </w:pPr>
            <w:r/>
            <w:r>
              <w:rPr>
                <w:rFonts w:ascii="Arial" w:hAnsi="Arial"/>
                <w:b w:val="0"/>
                <w:i w:val="0"/>
                <w:color w:val="111111"/>
                <w:sz w:val="20"/>
              </w:rPr>
              <w:t>No economic link</w:t>
            </w:r>
          </w:p>
        </w:tc>
        <w:tc>
          <w:tcPr>
            <w:tcW w:type="dxa" w:w="4680"/>
            <w:shd w:val="clear" w:color="auto" w:fill="D6E8F5"/>
            <w:tcMar>
              <w:top w:w="100" w:type="dxa"/>
              <w:bottom w:w="100" w:type="dxa"/>
              <w:left w:w="140" w:type="dxa"/>
              <w:right w:w="140" w:type="dxa"/>
            </w:tcMar>
            <w:vAlign w:val="center"/>
          </w:tcPr>
          <w:p>
            <w:pPr>
              <w:spacing w:before="0" w:after="0"/>
            </w:pPr>
            <w:r/>
            <w:r>
              <w:rPr>
                <w:rFonts w:ascii="Arial" w:hAnsi="Arial"/>
                <w:b w:val="0"/>
                <w:i w:val="0"/>
                <w:color w:val="111111"/>
                <w:sz w:val="20"/>
              </w:rPr>
              <w:t>Cost/risk framing added</w:t>
            </w:r>
          </w:p>
        </w:tc>
      </w:tr>
      <w:tr>
        <w:tc>
          <w:tcPr>
            <w:tcW w:type="dxa" w:w="4680"/>
            <w:shd w:val="clear" w:color="auto" w:fill="D6E8F5"/>
            <w:tcMar>
              <w:top w:w="100" w:type="dxa"/>
              <w:bottom w:w="100" w:type="dxa"/>
              <w:left w:w="140" w:type="dxa"/>
              <w:right w:w="140" w:type="dxa"/>
            </w:tcMar>
            <w:vAlign w:val="center"/>
          </w:tcPr>
          <w:p>
            <w:pPr>
              <w:spacing w:before="0" w:after="0"/>
            </w:pPr>
            <w:r/>
            <w:r>
              <w:rPr>
                <w:rFonts w:ascii="Arial" w:hAnsi="Arial"/>
                <w:b w:val="0"/>
                <w:i w:val="0"/>
                <w:color w:val="111111"/>
                <w:sz w:val="20"/>
              </w:rPr>
              <w:t>AI unclear</w:t>
            </w:r>
          </w:p>
        </w:tc>
        <w:tc>
          <w:tcPr>
            <w:tcW w:type="dxa" w:w="4680"/>
            <w:shd w:val="clear" w:color="auto" w:fill="D6E8F5"/>
            <w:tcMar>
              <w:top w:w="100" w:type="dxa"/>
              <w:bottom w:w="100" w:type="dxa"/>
              <w:left w:w="140" w:type="dxa"/>
              <w:right w:w="140" w:type="dxa"/>
            </w:tcMar>
            <w:vAlign w:val="center"/>
          </w:tcPr>
          <w:p>
            <w:pPr>
              <w:spacing w:before="0" w:after="0"/>
            </w:pPr>
            <w:r/>
            <w:r>
              <w:rPr>
                <w:rFonts w:ascii="Arial" w:hAnsi="Arial"/>
                <w:b w:val="0"/>
                <w:i w:val="0"/>
                <w:color w:val="111111"/>
                <w:sz w:val="20"/>
              </w:rPr>
              <w:t>AI positioned as scaling layer</w:t>
            </w:r>
          </w:p>
        </w:tc>
      </w:tr>
    </w:tbl>
    <w:p/>
    <w:p>
      <w:pPr>
        <w:spacing w:before="0" w:after="120"/>
      </w:pPr>
      <w:r>
        <w:rPr>
          <w:b w:val="0"/>
          <w:i w:val="0"/>
        </w:rPr>
        <w:t>---</w:t>
      </w:r>
    </w:p>
    <w:p>
      <w:pPr>
        <w:pStyle w:val="Heading2"/>
      </w:pPr>
      <w:r>
        <w:rPr>
          <w:b w:val="0"/>
          <w:i w:val="0"/>
        </w:rPr>
        <w:t>10. Position in MVP Roadmap</w:t>
      </w:r>
    </w:p>
    <w:p>
      <w:pPr>
        <w:spacing w:before="0" w:after="120"/>
      </w:pPr>
      <w:r>
        <w:rPr>
          <w:b w:val="0"/>
          <w:i w:val="0"/>
        </w:rPr>
        <w:t>MVP v0.2 is the second step in a staged evolution:</w:t>
      </w:r>
    </w:p>
    <w:p>
      <w:pPr>
        <w:spacing w:before="0" w:after="60"/>
        <w:ind w:left="504" w:hanging="288"/>
      </w:pPr>
      <w:r>
        <w:t xml:space="preserve">•  </w:t>
      </w:r>
      <w:r>
        <w:rPr>
          <w:b/>
          <w:i w:val="0"/>
        </w:rPr>
        <w:t>v0.1 — Detection</w:t>
      </w:r>
    </w:p>
    <w:p>
      <w:pPr>
        <w:spacing w:before="0" w:after="120"/>
      </w:pPr>
      <w:r>
        <w:rPr>
          <w:b w:val="0"/>
          <w:i w:val="0"/>
        </w:rPr>
        <w:t>Demonstrates anomaly identification</w:t>
      </w:r>
    </w:p>
    <w:p>
      <w:pPr>
        <w:spacing w:before="0" w:after="60"/>
        <w:ind w:left="504" w:hanging="288"/>
      </w:pPr>
      <w:r>
        <w:t xml:space="preserve">•  </w:t>
      </w:r>
      <w:r>
        <w:rPr>
          <w:b/>
          <w:i w:val="0"/>
        </w:rPr>
        <w:t>v0.2 — Repeatability + Scale (current)</w:t>
      </w:r>
    </w:p>
    <w:p>
      <w:pPr>
        <w:spacing w:before="0" w:after="120"/>
      </w:pPr>
      <w:r>
        <w:rPr>
          <w:b w:val="0"/>
          <w:i w:val="0"/>
        </w:rPr>
        <w:t>Demonstrates detection at facility scale</w:t>
      </w:r>
    </w:p>
    <w:p>
      <w:pPr>
        <w:spacing w:before="0" w:after="60"/>
        <w:ind w:left="504" w:hanging="288"/>
      </w:pPr>
      <w:r>
        <w:t xml:space="preserve">•  </w:t>
      </w:r>
      <w:r>
        <w:rPr>
          <w:b/>
          <w:i w:val="0"/>
        </w:rPr>
        <w:t>v0.3 — Conversational Access</w:t>
      </w:r>
    </w:p>
    <w:p>
      <w:pPr>
        <w:spacing w:before="0" w:after="120"/>
      </w:pPr>
      <w:r>
        <w:rPr>
          <w:b w:val="0"/>
          <w:i w:val="0"/>
        </w:rPr>
        <w:t>Contextual data chat in persona-tailored workspaces, with validated agent reliability</w:t>
      </w:r>
    </w:p>
    <w:p>
      <w:pPr>
        <w:spacing w:before="0" w:after="60"/>
        <w:ind w:left="504" w:hanging="288"/>
      </w:pPr>
      <w:r>
        <w:t xml:space="preserve">•  </w:t>
      </w:r>
      <w:r>
        <w:rPr>
          <w:b/>
          <w:i w:val="0"/>
        </w:rPr>
        <w:t>v0.4 — Closed-loop Intelligence</w:t>
      </w:r>
    </w:p>
    <w:p>
      <w:pPr>
        <w:spacing w:before="0" w:after="120"/>
      </w:pPr>
      <w:r>
        <w:rPr>
          <w:b w:val="0"/>
          <w:i w:val="0"/>
        </w:rPr>
        <w:t>Will connect detection → validation → action → feedback, with quantified inspection prioritization and RBI/IDMS workflow integration</w:t>
      </w:r>
    </w:p>
    <w:p>
      <w:pPr>
        <w:spacing w:before="0" w:after="120"/>
      </w:pPr>
      <w:r>
        <w:rPr>
          <w:b w:val="0"/>
          <w:i w:val="0"/>
        </w:rPr>
        <w:t>---</w:t>
      </w:r>
    </w:p>
    <w:p>
      <w:pPr>
        <w:pStyle w:val="Heading2"/>
      </w:pPr>
      <w:r>
        <w:rPr>
          <w:b w:val="0"/>
          <w:i w:val="0"/>
        </w:rPr>
        <w:t>11. Key Takeaway</w:t>
      </w:r>
    </w:p>
    <w:p>
      <w:pPr>
        <w:spacing w:before="0" w:after="120"/>
      </w:pPr>
      <w:r>
        <w:rPr>
          <w:b w:val="0"/>
          <w:i w:val="0"/>
        </w:rPr>
        <w:t>MVP v0.2 proves that Kav AI is:</w:t>
      </w:r>
    </w:p>
    <w:p>
      <w:pPr>
        <w:spacing w:before="0" w:after="60"/>
        <w:ind w:left="504" w:hanging="288"/>
      </w:pPr>
      <w:r>
        <w:t xml:space="preserve">•  </w:t>
      </w:r>
      <w:r>
        <w:rPr>
          <w:b/>
          <w:i w:val="0"/>
        </w:rPr>
        <w:t>Scalable</w:t>
      </w:r>
      <w:r>
        <w:rPr>
          <w:b w:val="0"/>
          <w:i w:val="0"/>
        </w:rPr>
        <w:t xml:space="preserve"> — operates across hundreds to thousands of assets</w:t>
      </w:r>
    </w:p>
    <w:p>
      <w:pPr>
        <w:spacing w:before="0" w:after="60"/>
        <w:ind w:left="504" w:hanging="288"/>
      </w:pPr>
      <w:r>
        <w:t xml:space="preserve">•  </w:t>
      </w:r>
      <w:r>
        <w:rPr>
          <w:b/>
          <w:i w:val="0"/>
        </w:rPr>
        <w:t>Repeatable</w:t>
      </w:r>
      <w:r>
        <w:rPr>
          <w:b w:val="0"/>
          <w:i w:val="0"/>
        </w:rPr>
        <w:t xml:space="preserve"> — produces consistent findings, not one-off detections</w:t>
      </w:r>
    </w:p>
    <w:p>
      <w:pPr>
        <w:spacing w:before="0" w:after="60"/>
        <w:ind w:left="504" w:hanging="288"/>
      </w:pPr>
      <w:r>
        <w:t xml:space="preserve">•  </w:t>
      </w:r>
      <w:r>
        <w:rPr>
          <w:b/>
          <w:i w:val="0"/>
        </w:rPr>
        <w:t>Actionable</w:t>
      </w:r>
      <w:r>
        <w:rPr>
          <w:b w:val="0"/>
          <w:i w:val="0"/>
        </w:rPr>
        <w:t xml:space="preserve"> — outputs prioritized inspection decisions</w:t>
      </w:r>
    </w:p>
    <w:p>
      <w:pPr>
        <w:spacing w:before="0" w:after="60"/>
        <w:ind w:left="504" w:hanging="288"/>
      </w:pPr>
      <w:r>
        <w:t xml:space="preserve">•  </w:t>
      </w:r>
      <w:r>
        <w:rPr>
          <w:b/>
          <w:i w:val="0"/>
        </w:rPr>
        <w:t>Relevant</w:t>
      </w:r>
      <w:r>
        <w:rPr>
          <w:b w:val="0"/>
          <w:i w:val="0"/>
        </w:rPr>
        <w:t xml:space="preserve"> — connects technical signals to financial impact</w:t>
      </w:r>
    </w:p>
    <w:p>
      <w:pPr>
        <w:spacing w:before="0" w:after="120"/>
      </w:pPr>
      <w:r>
        <w:rPr>
          <w:b w:val="0"/>
          <w:i w:val="0"/>
        </w:rPr>
        <w:t>It moves the system from:</w:t>
      </w:r>
    </w:p>
    <w:p>
      <w:pPr>
        <w:spacing w:before="0" w:after="120"/>
      </w:pPr>
      <w:r>
        <w:rPr>
          <w:b w:val="0"/>
          <w:i w:val="0"/>
        </w:rPr>
        <w:t>&gt; “We found something interesting”</w:t>
      </w:r>
    </w:p>
    <w:p>
      <w:pPr>
        <w:spacing w:before="0" w:after="120"/>
      </w:pPr>
      <w:r>
        <w:rPr>
          <w:b w:val="0"/>
          <w:i w:val="0"/>
        </w:rPr>
        <w:t>to:</w:t>
      </w:r>
    </w:p>
    <w:p>
      <w:pPr>
        <w:spacing w:before="0" w:after="120"/>
      </w:pPr>
      <w:r>
        <w:rPr>
          <w:b w:val="0"/>
          <w:i w:val="0"/>
        </w:rPr>
        <w:t xml:space="preserve">&gt; </w:t>
      </w:r>
      <w:r>
        <w:rPr>
          <w:b/>
          <w:i w:val="0"/>
        </w:rPr>
        <w:t>“Here are the 8 places you should inspect next — and why.”</w:t>
      </w:r>
    </w:p>
    <w:p>
      <w:pPr>
        <w:spacing w:before="0" w:after="120"/>
      </w:pPr>
      <w:r>
        <w:rPr>
          <w:b w:val="0"/>
          <w:i w:val="0"/>
        </w:rPr>
        <w:t>---</w:t>
      </w:r>
    </w:p>
    <w:sectPr>
      <w:headerReference r:id="rId9" w:type="default"/>
      <w:footerReference r:id="rId10" w:type="default"/>
      <w:pgSz w:h="15840" w:w="1224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Arial Unicode MS"/>
  <w:font w:name="Caudex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B5">
    <w:pPr>
      <w:spacing w:before="0" w:after="0"/>
      <w:tabs>
        <w:tab w:val="right" w:pos="9360" w:leader="none"/>
      </w:tabs>
    </w:pPr>
    <w:r>
      <w:rPr>
        <w:rFonts w:ascii="Arial" w:hAnsi="Arial"/>
        <w:color w:val="999999"/>
        <w:sz w:val="16"/>
      </w:rPr>
      <w:t>©2026 Kav AI Technologies Inc.  |  Confidential</w:t>
    </w:r>
    <w:r>
      <w:rPr>
        <w:sz w:val="16"/>
      </w:rPr>
      <w:tab/>
    </w:r>
    <w:fldSimple w:instr=" PAGE ">
      <w:r>
        <w:rPr>
          <w:rFonts w:ascii="Arial" w:hAnsi="Arial"/>
          <w:sz w:val="16"/>
          <w:color w:val="999999"/>
        </w:rPr>
        <w:t>1</w:t>
      </w:r>
    </w:fldSimple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B4">
    <w:pPr>
      <w:pBdr>
        <w:bottom w:color="0d7680" w:space="1" w:sz="6" w:val="single"/>
      </w:pBdr>
      <w:tabs>
        <w:tab w:val="right" w:leader="none" w:pos="9360"/>
      </w:tabs>
      <w:spacing w:after="0" w:lineRule="auto"/>
      <w:rPr/>
    </w:pPr>
    <w:r w:rsidDel="00000000" w:rsidR="00000000" w:rsidRPr="00000000">
      <w:rPr>
        <w:rFonts w:ascii="Arial" w:cs="Arial" w:eastAsia="Arial" w:hAnsi="Arial"/>
        <w:b w:val="1"/>
        <w:bCs w:val="1"/>
        <w:color w:val="1b3a6b"/>
        <w:sz w:val="18"/>
        <w:szCs w:val="18"/>
        <w:rtl w:val="0"/>
      </w:rPr>
      <w:t>Kav AI Platform  |  Minimum Viable Product (MVP)                      Version 0.2  —  April 2026  |  CONFIDENTIAL</w:t>
    </w:r>
    <w:r w:rsidDel="00000000" w:rsidR="00000000" w:rsidRPr="00000000">
      <w:rPr>
        <w:rFonts w:ascii="Arial" w:cs="Arial" w:eastAsia="Arial" w:hAnsi="Arial"/>
        <w:color w:val="666666"/>
        <w:sz w:val="18"/>
        <w:szCs w:val="18"/>
        <w:rtl w:val="0"/>
      </w:rPr>
    </w:r>
    <w:r w:rsidDel="00000000" w:rsidR="00000000" w:rsidRPr="00000000">
      <w:rPr>
        <w:color w:val="666666"/>
        <w:sz w:val="18"/>
        <w:szCs w:val="18"/>
        <w:rtl w:val="0"/>
      </w:rPr>
    </w:r>
    <w:r w:rsidDel="00000000" w:rsidR="00000000" w:rsidRPr="00000000">
      <w:rPr>
        <w:rFonts w:ascii="Arial" w:cs="Arial" w:eastAsia="Arial" w:hAnsi="Arial"/>
        <w:color w:val="666666"/>
        <w:sz w:val="18"/>
        <w:szCs w:val="18"/>
        <w:rtl w:val="0"/>
      </w:rPr>
    </w:r>
    <w:r w:rsidDel="00000000" w:rsidR="00000000" w:rsidRPr="00000000">
      <w:rPr>
        <w:color w:val="666666"/>
        <w:sz w:val="18"/>
        <w:szCs w:val="18"/>
        <w:rtl w:val="0"/>
      </w:rPr>
    </w:r>
    <w:r w:rsidDel="00000000" w:rsidR="00000000" w:rsidRPr="00000000">
      <w:rPr>
        <w:rFonts w:ascii="Arial" w:cs="Arial" w:eastAsia="Arial" w:hAnsi="Arial"/>
        <w:color w:val="666666"/>
        <w:sz w:val="18"/>
        <w:szCs w:val="18"/>
        <w:rtl w:val="0"/>
      </w:rPr>
    </w:r>
    <w:r w:rsidDel="00000000" w:rsidR="00000000" w:rsidRPr="00000000">
      <w:rPr>
        <w:color w:val="666666"/>
        <w:sz w:val="18"/>
        <w:szCs w:val="18"/>
        <w:rtl w:val="0"/>
      </w:rPr>
    </w:r>
    <w:r w:rsidDel="00000000" w:rsidR="00000000" w:rsidRPr="00000000">
      <w:rPr>
        <w:rFonts w:ascii="Arial" w:cs="Arial" w:eastAsia="Arial" w:hAnsi="Arial"/>
        <w:color w:val="666666"/>
        <w:sz w:val="18"/>
        <w:szCs w:val="18"/>
        <w:rtl w:val="0"/>
      </w:rPr>
    </w:r>
    <w:r w:rsidDel="00000000" w:rsidR="00000000" w:rsidRPr="00000000">
      <w:rPr>
        <w:color w:val="666666"/>
        <w:sz w:val="18"/>
        <w:szCs w:val="18"/>
        <w:rtl w:val="0"/>
      </w:rPr>
    </w:r>
    <w:r w:rsidDel="00000000" w:rsidR="00000000" w:rsidRPr="00000000">
      <w:rPr>
        <w:rFonts w:ascii="Arial" w:cs="Arial" w:eastAsia="Arial" w:hAnsi="Arial"/>
        <w:color w:val="666666"/>
        <w:sz w:val="18"/>
        <w:szCs w:val="18"/>
        <w:rtl w:val="0"/>
      </w:rPr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/>
    </w:lvl>
    <w:lvl w:ilvl="1">
      <w:start w:val="1"/>
      <w:numFmt w:val="bullet"/>
      <w:lvlText w:val="○"/>
      <w:lvlJc w:val="left"/>
      <w:pPr>
        <w:ind w:left="1440" w:hanging="360"/>
      </w:pPr>
      <w:rPr/>
    </w:lvl>
    <w:lvl w:ilvl="2">
      <w:start w:val="1"/>
      <w:numFmt w:val="bullet"/>
      <w:lvlText w:val="■"/>
      <w:lvlJc w:val="left"/>
      <w:pPr>
        <w:ind w:left="2160" w:hanging="360"/>
      </w:pPr>
      <w:rPr/>
    </w:lvl>
    <w:lvl w:ilvl="3">
      <w:start w:val="1"/>
      <w:numFmt w:val="bullet"/>
      <w:lvlText w:val="●"/>
      <w:lvlJc w:val="left"/>
      <w:pPr>
        <w:ind w:left="2880" w:hanging="360"/>
      </w:pPr>
      <w:rPr/>
    </w:lvl>
    <w:lvl w:ilvl="4">
      <w:start w:val="1"/>
      <w:numFmt w:val="bullet"/>
      <w:lvlText w:val="○"/>
      <w:lvlJc w:val="left"/>
      <w:pPr>
        <w:ind w:left="3600" w:hanging="360"/>
      </w:pPr>
      <w:rPr/>
    </w:lvl>
    <w:lvl w:ilvl="5">
      <w:start w:val="1"/>
      <w:numFmt w:val="bullet"/>
      <w:lvlText w:val="■"/>
      <w:lvlJc w:val="left"/>
      <w:pPr>
        <w:ind w:left="4320" w:hanging="360"/>
      </w:pPr>
      <w:rPr/>
    </w:lvl>
    <w:lvl w:ilvl="6">
      <w:start w:val="1"/>
      <w:numFmt w:val="bullet"/>
      <w:lvlText w:val="●"/>
      <w:lvlJc w:val="left"/>
      <w:pPr>
        <w:ind w:left="5040" w:hanging="360"/>
      </w:pPr>
      <w:rPr/>
    </w:lvl>
    <w:lvl w:ilvl="7">
      <w:start w:val="1"/>
      <w:numFmt w:val="bullet"/>
      <w:lvlText w:val="●"/>
      <w:lvlJc w:val="left"/>
      <w:pPr>
        <w:ind w:left="5760" w:hanging="360"/>
      </w:pPr>
      <w:rPr/>
    </w:lvl>
    <w:lvl w:ilvl="8">
      <w:start w:val="1"/>
      <w:numFmt w:val="bullet"/>
      <w:lvlText w:val="●"/>
      <w:lvlJc w:val="left"/>
      <w:pPr>
        <w:ind w:left="6480" w:hanging="360"/>
      </w:pPr>
      <w:rPr/>
    </w:lvl>
  </w:abstractNum>
  <w:abstractNum w:abstractNumId="2">
    <w:lvl w:ilvl="0">
      <w:start w:val="1"/>
      <w:numFmt w:val="bullet"/>
      <w:lvlText w:val="•"/>
      <w:lvlJc w:val="left"/>
      <w:pPr>
        <w:ind w:left="600" w:hanging="30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color w:val="111111"/>
        <w:sz w:val="22"/>
        <w:szCs w:val="22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360" w:line="240" w:lineRule="auto"/>
      <w:ind w:left="0" w:right="0" w:firstLine="0"/>
      <w:jc w:val="left"/>
    </w:pPr>
    <w:rPr>
      <w:rFonts w:ascii="Arial" w:cs="Arial" w:eastAsia="Arial" w:hAnsi="Arial"/>
      <w:b w:val="1"/>
      <w:bCs w:val="1"/>
      <w:i w:val="0"/>
      <w:iCs w:val="0"/>
      <w:smallCaps w:val="0"/>
      <w:strike w:val="0"/>
      <w:color w:val="1b3a6b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80" w:line="240" w:lineRule="auto"/>
      <w:ind w:left="0" w:right="0" w:firstLine="0"/>
      <w:jc w:val="left"/>
    </w:pPr>
    <w:rPr>
      <w:rFonts w:ascii="Arial" w:cs="Arial" w:eastAsia="Arial" w:hAnsi="Arial"/>
      <w:b w:val="1"/>
      <w:bCs w:val="1"/>
      <w:i w:val="0"/>
      <w:iCs w:val="0"/>
      <w:smallCaps w:val="0"/>
      <w:strike w:val="0"/>
      <w:color w:val="0d7680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00" w:line="240" w:lineRule="auto"/>
      <w:ind w:left="0" w:right="0" w:firstLine="0"/>
      <w:jc w:val="left"/>
    </w:pPr>
    <w:rPr>
      <w:rFonts w:ascii="Arial" w:cs="Arial" w:eastAsia="Arial" w:hAnsi="Arial"/>
      <w:b w:val="1"/>
      <w:bCs w:val="1"/>
      <w:i w:val="0"/>
      <w:iCs w:val="0"/>
      <w:smallCaps w:val="0"/>
      <w:strike w:val="0"/>
      <w:color w:val="1b3a6b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Arial" w:cs="Arial" w:eastAsia="Arial" w:hAnsi="Arial"/>
      <w:b w:val="0"/>
      <w:bCs w:val="0"/>
      <w:i w:val="1"/>
      <w:iCs w:val="1"/>
      <w:smallCaps w:val="0"/>
      <w:strike w:val="0"/>
      <w:color w:val="2e74b5"/>
      <w:sz w:val="22"/>
      <w:szCs w:val="22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2e74b5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1f4d78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111111"/>
      <w:sz w:val="56"/>
      <w:szCs w:val="56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40.0" w:type="dxa"/>
        <w:bottom w:w="100.0" w:type="dxa"/>
        <w:right w:w="14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40.0" w:type="dxa"/>
        <w:bottom w:w="100.0" w:type="dxa"/>
        <w:right w:w="14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100.0" w:type="dxa"/>
        <w:left w:w="140.0" w:type="dxa"/>
        <w:bottom w:w="100.0" w:type="dxa"/>
        <w:right w:w="14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00.0" w:type="dxa"/>
        <w:left w:w="140.0" w:type="dxa"/>
        <w:bottom w:w="100.0" w:type="dxa"/>
        <w:right w:w="14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100.0" w:type="dxa"/>
        <w:left w:w="140.0" w:type="dxa"/>
        <w:bottom w:w="100.0" w:type="dxa"/>
        <w:right w:w="14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140.0" w:type="dxa"/>
        <w:left w:w="200.0" w:type="dxa"/>
        <w:bottom w:w="140.0" w:type="dxa"/>
        <w:right w:w="16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100.0" w:type="dxa"/>
        <w:left w:w="140.0" w:type="dxa"/>
        <w:bottom w:w="100.0" w:type="dxa"/>
        <w:right w:w="14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140.0" w:type="dxa"/>
        <w:left w:w="200.0" w:type="dxa"/>
        <w:bottom w:w="140.0" w:type="dxa"/>
        <w:right w:w="160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100.0" w:type="dxa"/>
        <w:left w:w="140.0" w:type="dxa"/>
        <w:bottom w:w="100.0" w:type="dxa"/>
        <w:right w:w="140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100.0" w:type="dxa"/>
        <w:left w:w="140.0" w:type="dxa"/>
        <w:bottom w:w="100.0" w:type="dxa"/>
        <w:right w:w="140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100.0" w:type="dxa"/>
        <w:left w:w="140.0" w:type="dxa"/>
        <w:bottom w:w="100.0" w:type="dxa"/>
        <w:right w:w="140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100.0" w:type="dxa"/>
        <w:left w:w="140.0" w:type="dxa"/>
        <w:bottom w:w="100.0" w:type="dxa"/>
        <w:right w:w="140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100.0" w:type="dxa"/>
        <w:left w:w="140.0" w:type="dxa"/>
        <w:bottom w:w="100.0" w:type="dxa"/>
        <w:right w:w="140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140.0" w:type="dxa"/>
        <w:left w:w="200.0" w:type="dxa"/>
        <w:bottom w:w="140.0" w:type="dxa"/>
        <w:right w:w="160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100.0" w:type="dxa"/>
        <w:left w:w="140.0" w:type="dxa"/>
        <w:bottom w:w="100.0" w:type="dxa"/>
        <w:right w:w="140.0" w:type="dxa"/>
      </w:tblCellMar>
    </w:tblPr>
  </w:style>
  <w:style w:type="table" w:styleId="Table36">
    <w:basedOn w:val="TableNormal"/>
    <w:tblPr>
      <w:tblStyleRowBandSize w:val="1"/>
      <w:tblStyleColBandSize w:val="1"/>
      <w:tblCellMar>
        <w:top w:w="100.0" w:type="dxa"/>
        <w:left w:w="140.0" w:type="dxa"/>
        <w:bottom w:w="100.0" w:type="dxa"/>
        <w:right w:w="140.0" w:type="dxa"/>
      </w:tblCellMar>
    </w:tblPr>
  </w:style>
  <w:style w:type="table" w:styleId="Table37">
    <w:basedOn w:val="TableNormal"/>
    <w:tblPr>
      <w:tblStyleRowBandSize w:val="1"/>
      <w:tblStyleColBandSize w:val="1"/>
      <w:tblCellMar>
        <w:top w:w="140.0" w:type="dxa"/>
        <w:left w:w="200.0" w:type="dxa"/>
        <w:bottom w:w="140.0" w:type="dxa"/>
        <w:right w:w="160.0" w:type="dxa"/>
      </w:tblCellMar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Relationship Id="rId11" Type="http://schemas.openxmlformats.org/officeDocument/2006/relationships/image" Target="media/image3.png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Caudex-regular.ttf"/><Relationship Id="rId2" Type="http://schemas.openxmlformats.org/officeDocument/2006/relationships/font" Target="fonts/Caudex-bold.ttf"/><Relationship Id="rId3" Type="http://schemas.openxmlformats.org/officeDocument/2006/relationships/font" Target="fonts/Caudex-italic.ttf"/><Relationship Id="rId4" Type="http://schemas.openxmlformats.org/officeDocument/2006/relationships/font" Target="fonts/Caudex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7tBkr/v7RTyZbSyn2S7d90xwsw==">CgMxLjAaGgoBMBIVChMIB0IPCgVBcmlhbBIGQ2F1ZGV4GiQKATESHwodCAdCGQoFQXJpYWwSEEFyaWFsIFVuaWNvZGUgTVMaJAoBMhIfCh0IB0IZCgVBcmlhbBIQQXJpYWwgVW5pY29kZSBNUxokCgEzEh8KHQgHQhkKBUFyaWFsEhBBcmlhbCBVbmljb2RlIE1TGiQKATQSHwodCAdCGQoFQXJpYWwSEEFyaWFsIFVuaWNvZGUgTVMaJAoBNRIfCh0IB0IZCgVBcmlhbBIQQXJpYWwgVW5pY29kZSBNUxokCgE2Eh8KHQgHQhkKBUFyaWFsEhBBcmlhbCBVbmljb2RlIE1TGiQKATcSHwodCAdCGQoFQXJpYWwSEEFyaWFsIFVuaWNvZGUgTVMaJAoBOBIfCh0IB0IZCgVBcmlhbBIQQXJpYWwgVW5pY29kZSBNUxokCgE5Eh8KHQgHQhkKBUFyaWFsEhBBcmlhbCBVbmljb2RlIE1TGiUKAjEwEh8KHQgHQhkKBUFyaWFsEhBBcmlhbCBVbmljb2RlIE1TGiUKAjExEh8KHQgHQhkKBUFyaWFsEhBBcmlhbCBVbmljb2RlIE1TGiUKAjEyEh8KHQgHQhkKBUFyaWFsEhBBcmlhbCBVbmljb2RlIE1TGiUKAjEzEh8KHQgHQhkKBUFyaWFsEhBBcmlhbCBVbmljb2RlIE1TGiUKAjE0Eh8KHQgHQhkKBUFyaWFsEhBBcmlhbCBVbmljb2RlIE1TGiUKAjE1Eh8KHQgHQhkKBUFyaWFsEhBBcmlhbCBVbmljb2RlIE1TGiUKAjE2Eh8KHQgHQhkKBUFyaWFsEhBBcmlhbCBVbmljb2RlIE1TOAByITFtVnpFQUhyeTJ6QXhJLS1CY1AyQjkweUV6U18wZ0tT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